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t xml:space="preserve">BILAG XX - Instruktioner vedrørende offentliggørelse af anvendelsen af standardmetoden for kreditrisiko (med undtagelse af modpartskreditrisiko og securitiseringspositioner)</w:t>
      </w:r>
    </w:p>
    <w:p w14:paraId="137E3944" w14:textId="77777777" w:rsidR="0005278F" w:rsidRPr="00BC439A" w:rsidRDefault="0005278F" w:rsidP="0005278F">
      <w:pPr>
        <w:spacing w:after="120"/>
        <w:rPr>
          <w:rFonts w:ascii="Times New Roman" w:hAnsi="Times New Roman" w:cs="Times New Roman"/>
          <w:sz w:val="24"/>
        </w:rPr>
      </w:pPr>
    </w:p>
    <w:p w14:paraId="137E3945" w14:textId="67437BFC" w:rsidR="0005278F" w:rsidRPr="00BC439A" w:rsidRDefault="0005278F" w:rsidP="0005278F">
      <w:pPr>
        <w:pStyle w:val="ListParagraph"/>
        <w:numPr>
          <w:ilvl w:val="0"/>
          <w:numId w:val="1"/>
        </w:numPr>
        <w:spacing w:after="120"/>
        <w:ind w:left="425" w:hanging="357"/>
        <w:jc w:val="both"/>
        <w:rPr>
          <w:sz w:val="24"/>
          <w:rFonts w:ascii="Times New Roman" w:hAnsi="Times New Roman"/>
        </w:rPr>
      </w:pPr>
      <w:r>
        <w:rPr>
          <w:sz w:val="24"/>
          <w:rFonts w:ascii="Times New Roman" w:hAnsi="Times New Roman"/>
        </w:rPr>
        <w:t xml:space="preserve">Instrumenter underlagt tredje del, afsnit II, kapitel 6 i forordning (EU) nr. 575/2013 ("CRR")</w:t>
      </w:r>
      <w:r>
        <w:rPr>
          <w:rStyle w:val="FootnoteReference"/>
          <w:rFonts w:ascii="Times New Roman" w:hAnsi="Times New Roman"/>
        </w:rPr>
        <w:footnoteReference w:id="2"/>
      </w:r>
      <w:r>
        <w:rPr>
          <w:sz w:val="24"/>
          <w:rFonts w:ascii="Times New Roman" w:hAnsi="Times New Roman"/>
        </w:rPr>
        <w:t xml:space="preserve"> (modpartskreditrisikoeksponeringer) samt instrumenter, for hvilke kravene i tredje del, afsnit II, kapitel 5 i forordning (EU) nr. 575/2013 (securitiseringspositioner) gælder, er ikke omfattet af skemaerne, for hvilke der gives instrukser i dette bilag.</w:t>
      </w:r>
    </w:p>
    <w:p w14:paraId="137E3946" w14:textId="77777777" w:rsidR="0005278F" w:rsidRPr="00BC439A" w:rsidRDefault="0005278F" w:rsidP="0005278F">
      <w:pPr>
        <w:spacing w:after="120"/>
        <w:rPr>
          <w:b/>
          <w:sz w:val="24"/>
          <w:rFonts w:ascii="Times New Roman" w:hAnsi="Times New Roman" w:cs="Times New Roman"/>
        </w:rPr>
      </w:pPr>
      <w:r>
        <w:rPr>
          <w:sz w:val="24"/>
          <w:b/>
          <w:rFonts w:ascii="Times New Roman" w:hAnsi="Times New Roman"/>
        </w:rPr>
        <w:t xml:space="preserve">Tabel EU CRD - Kvalitative offentliggørelseskrav i forbindelse med standardmetoden.</w:t>
      </w:r>
      <w:r>
        <w:rPr>
          <w:sz w:val="24"/>
          <w:b/>
          <w:rFonts w:ascii="Times New Roman" w:hAnsi="Times New Roman"/>
        </w:rPr>
        <w:t xml:space="preserve"> </w:t>
      </w:r>
      <w:r>
        <w:rPr>
          <w:sz w:val="24"/>
          <w:rFonts w:ascii="Times New Roman" w:hAnsi="Times New Roman"/>
        </w:rPr>
        <w:t xml:space="preserve">Fleksibelt format</w:t>
      </w:r>
    </w:p>
    <w:p w14:paraId="137E3947" w14:textId="5594AA8B" w:rsidR="0005278F" w:rsidRPr="00BC439A" w:rsidRDefault="0005278F" w:rsidP="0005278F">
      <w:pPr>
        <w:pStyle w:val="ListParagraph"/>
        <w:numPr>
          <w:ilvl w:val="0"/>
          <w:numId w:val="1"/>
        </w:numPr>
        <w:spacing w:after="120"/>
        <w:ind w:left="425" w:hanging="357"/>
        <w:jc w:val="both"/>
        <w:rPr>
          <w:sz w:val="24"/>
          <w:rFonts w:ascii="Times New Roman" w:hAnsi="Times New Roman"/>
        </w:rPr>
      </w:pPr>
      <w:r>
        <w:rPr>
          <w:sz w:val="24"/>
          <w:rFonts w:ascii="Times New Roman" w:hAnsi="Times New Roman"/>
        </w:rPr>
        <w:t xml:space="preserve">Institutterne offentliggør de oplysninger, som er omhandlet i artikel 444, litra a)-d), i forordning (EU) nr. 575/2013, ved at følge instrukserne i dette bilag til udfyldelse af tabel EU CRD, som findes i bilag XIX til EBA's IT-løsninger.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w:t>
            </w:r>
          </w:p>
          <w:p w14:paraId="137E3949"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Forklaring</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408"/>
        <w:gridCol w:w="3118"/>
        <w:gridCol w:w="4546"/>
      </w:tblGrid>
      <w:tr w:rsidR="00166E0C" w:rsidRPr="00BC439A" w14:paraId="137E3952" w14:textId="77777777" w:rsidTr="00FB64CF">
        <w:trPr>
          <w:cnfStyle w:val="100000000000" w:firstRow="1" w:lastRow="0" w:firstColumn="0" w:lastColumn="0" w:oddVBand="0" w:evenVBand="0" w:oddHBand="0" w:evenHBand="0" w:firstRowFirstColumn="0" w:firstRowLastColumn="0" w:lastRowFirstColumn="0" w:lastRowLastColumn="0"/>
          <w:trHeight w:val="1002"/>
        </w:trPr>
        <w:tc>
          <w:tcPr>
            <w:tcW w:w="0" w:type="dxa"/>
            <w:tcBorders>
              <w:top w:val="single" w:sz="4" w:space="0" w:color="auto"/>
              <w:left w:val="single" w:sz="4" w:space="0" w:color="auto"/>
              <w:right w:val="single" w:sz="4" w:space="0" w:color="auto"/>
            </w:tcBorders>
            <w:vAlign w:val="top"/>
          </w:tcPr>
          <w:p w14:paraId="137E394F"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a)</w:t>
            </w:r>
          </w:p>
        </w:tc>
        <w:tc>
          <w:tcPr>
            <w:tcW w:w="3118" w:type="dxa"/>
            <w:tcBorders>
              <w:top w:val="single" w:sz="4" w:space="0" w:color="auto"/>
              <w:left w:val="single" w:sz="4" w:space="0" w:color="auto"/>
              <w:right w:val="single" w:sz="4" w:space="0" w:color="auto"/>
            </w:tcBorders>
          </w:tcPr>
          <w:p w14:paraId="137E3950"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Artikel 444, litra a), i CRR</w:t>
            </w:r>
          </w:p>
        </w:tc>
        <w:tc>
          <w:tcPr>
            <w:tcW w:w="4546" w:type="dxa"/>
            <w:tcBorders>
              <w:top w:val="single" w:sz="4" w:space="0" w:color="auto"/>
              <w:left w:val="single" w:sz="4" w:space="0" w:color="auto"/>
              <w:right w:val="single" w:sz="4" w:space="0" w:color="auto"/>
            </w:tcBorders>
          </w:tcPr>
          <w:p w14:paraId="137E3951"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Institutterne offentliggør navnene på de anvendte udpegede eksterne kreditvurderingsinstitutter (ECAI'er) og eksportkreditagenturer (ECA'er) samt årsagerne til eventuelle ændringer af nævnte udpegninger i offentliggørelsesperioden.</w:t>
            </w:r>
            <w:r>
              <w:rPr>
                <w:sz w:val="24"/>
                <w:rFonts w:ascii="Times New Roman" w:hAnsi="Times New Roman"/>
              </w:rPr>
              <w:t xml:space="preserve"> </w:t>
            </w:r>
          </w:p>
        </w:tc>
      </w:tr>
      <w:tr w:rsidR="0005278F" w:rsidRPr="00BC439A" w14:paraId="137E3956" w14:textId="77777777" w:rsidTr="00FB64CF">
        <w:trPr>
          <w:trHeight w:val="1492"/>
        </w:trPr>
        <w:tc>
          <w:tcPr>
            <w:tcW w:w="1408" w:type="dxa"/>
            <w:vAlign w:val="top"/>
          </w:tcPr>
          <w:p w14:paraId="137E3953"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b)</w:t>
            </w:r>
          </w:p>
        </w:tc>
        <w:tc>
          <w:tcPr>
            <w:tcW w:w="3118" w:type="dxa"/>
          </w:tcPr>
          <w:p w14:paraId="137E3954"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Artikel 444, litra b), i CRR</w:t>
            </w:r>
          </w:p>
        </w:tc>
        <w:tc>
          <w:tcPr>
            <w:tcW w:w="4546" w:type="dxa"/>
          </w:tcPr>
          <w:p w14:paraId="137E3955" w14:textId="116E6D70" w:rsidR="0005278F" w:rsidRPr="00BC439A" w:rsidRDefault="0005278F">
            <w:pPr>
              <w:spacing w:after="120"/>
              <w:jc w:val="both"/>
              <w:rPr>
                <w:sz w:val="24"/>
                <w:rFonts w:ascii="Times New Roman" w:hAnsi="Times New Roman" w:cs="Times New Roman"/>
              </w:rPr>
            </w:pPr>
            <w:r>
              <w:rPr>
                <w:sz w:val="24"/>
                <w:rFonts w:ascii="Times New Roman" w:hAnsi="Times New Roman"/>
              </w:rPr>
              <w:t xml:space="preserve">Institutterne angiver de eksponeringsklasser, anført i artikel 112 i forordning (EU) nr. 575/2013, for hvilke institutterne beregner de risikovægtede eksponeringer i henhold til tredje del, afsnit II, kapitel 2, i CRR ved anvendelsen af kreditvurderingen af de udpegede ECAI'er eller ECA'er.</w:t>
            </w:r>
            <w:r>
              <w:rPr>
                <w:sz w:val="24"/>
                <w:rFonts w:ascii="Times New Roman" w:hAnsi="Times New Roman"/>
              </w:rPr>
              <w:t xml:space="preserve"> </w:t>
            </w:r>
          </w:p>
        </w:tc>
      </w:tr>
      <w:tr w:rsidR="0005278F" w:rsidRPr="00BC439A" w:rsidDel="00915DC9" w14:paraId="137E395A" w14:textId="77777777" w:rsidTr="00FB64CF">
        <w:trPr>
          <w:trHeight w:val="973"/>
        </w:trPr>
        <w:tc>
          <w:tcPr>
            <w:tcW w:w="1408" w:type="dxa"/>
            <w:vAlign w:val="top"/>
          </w:tcPr>
          <w:p w14:paraId="137E3957" w14:textId="6B9106A6"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c)</w:t>
            </w:r>
          </w:p>
        </w:tc>
        <w:tc>
          <w:tcPr>
            <w:tcW w:w="3118" w:type="dxa"/>
          </w:tcPr>
          <w:p w14:paraId="137E3958"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Artikel 444, litra c), i CRR</w:t>
            </w:r>
          </w:p>
        </w:tc>
        <w:tc>
          <w:tcPr>
            <w:tcW w:w="4546" w:type="dxa"/>
          </w:tcPr>
          <w:p w14:paraId="137E3959" w14:textId="5469201A" w:rsidR="0005278F" w:rsidRPr="00BC439A" w:rsidDel="00915DC9" w:rsidRDefault="0005278F" w:rsidP="004F3087">
            <w:pPr>
              <w:spacing w:after="120"/>
              <w:jc w:val="both"/>
              <w:rPr>
                <w:sz w:val="24"/>
                <w:rFonts w:ascii="Times New Roman" w:hAnsi="Times New Roman" w:cs="Times New Roman"/>
              </w:rPr>
            </w:pPr>
            <w:r>
              <w:rPr>
                <w:sz w:val="24"/>
                <w:rFonts w:ascii="Times New Roman" w:hAnsi="Times New Roman"/>
              </w:rPr>
              <w:t xml:space="preserve">Når en kreditvurdering af udstedere eller emissioner anvendes til at bestemme den risikovægt, der skal anvendes for en eksponering uden for handelsbeholdningen, jf. tredje del, afsnit II, kapitel 2, artikel 139 i forordning (EU) nr. 575/2013, beskriver institutterne den anvendte metode.</w:t>
            </w:r>
          </w:p>
        </w:tc>
      </w:tr>
      <w:tr w:rsidR="0005278F" w:rsidRPr="00BC439A" w14:paraId="137E395E" w14:textId="77777777" w:rsidTr="00FB64CF">
        <w:trPr>
          <w:trHeight w:val="1265"/>
        </w:trPr>
        <w:tc>
          <w:tcPr>
            <w:tcW w:w="1408" w:type="dxa"/>
            <w:vAlign w:val="top"/>
          </w:tcPr>
          <w:p w14:paraId="137E395B" w14:textId="77777777" w:rsidR="0005278F" w:rsidRPr="00BC439A" w:rsidRDefault="0005278F" w:rsidP="004F3087">
            <w:pPr>
              <w:spacing w:after="120"/>
              <w:jc w:val="center"/>
              <w:rPr>
                <w:sz w:val="24"/>
                <w:rFonts w:ascii="Times New Roman" w:hAnsi="Times New Roman" w:cs="Times New Roman"/>
              </w:rPr>
            </w:pPr>
            <w:r>
              <w:rPr>
                <w:rFonts w:ascii="Times New Roman" w:hAnsi="Times New Roman"/>
              </w:rPr>
              <w:t xml:space="preserve">d)</w:t>
            </w:r>
          </w:p>
        </w:tc>
        <w:tc>
          <w:tcPr>
            <w:tcW w:w="3118" w:type="dxa"/>
          </w:tcPr>
          <w:p w14:paraId="137E395C" w14:textId="77777777" w:rsidR="0005278F" w:rsidRPr="00BC439A" w:rsidRDefault="0005278F" w:rsidP="004F3087">
            <w:pPr>
              <w:spacing w:after="120"/>
              <w:jc w:val="both"/>
              <w:rPr>
                <w:sz w:val="24"/>
                <w:rFonts w:ascii="Times New Roman" w:hAnsi="Times New Roman" w:cs="Times New Roman"/>
              </w:rPr>
            </w:pPr>
            <w:r>
              <w:rPr>
                <w:sz w:val="24"/>
                <w:rFonts w:ascii="Times New Roman" w:hAnsi="Times New Roman"/>
              </w:rPr>
              <w:t xml:space="preserve">Artikel 444, litra d), i CRR</w:t>
            </w:r>
          </w:p>
        </w:tc>
        <w:tc>
          <w:tcPr>
            <w:tcW w:w="4546" w:type="dxa"/>
          </w:tcPr>
          <w:p w14:paraId="137E395D" w14:textId="60016B0C" w:rsidR="0005278F" w:rsidRPr="00BC439A" w:rsidRDefault="0005278F">
            <w:pPr>
              <w:spacing w:after="120"/>
              <w:jc w:val="both"/>
              <w:rPr>
                <w:sz w:val="24"/>
                <w:rFonts w:ascii="Times New Roman" w:hAnsi="Times New Roman" w:cs="Times New Roman"/>
              </w:rPr>
            </w:pPr>
            <w:r>
              <w:rPr>
                <w:sz w:val="24"/>
                <w:rFonts w:ascii="Times New Roman" w:hAnsi="Times New Roman"/>
              </w:rPr>
              <w:t xml:space="preserve">Institutterne angiver, for hver af de eksponeringsklasser, der er anført i artikel 112 i forordning (EU) nr. 575/2013, om den alfanumeriske skala for hver udpeget ECAI/ECA (som nævnt i række a) i dette skema) med risikovægte, der svarer til de kreditkvalitetstrin, der er fastsat i tredje del, afsnit II, kapitel 2, i forordning (EU) nr. 575/2013, undtagen hvis instituttet overholder den standardhenførsel, som EBA har offentliggjort.</w:t>
            </w:r>
            <w:r>
              <w:rPr>
                <w:sz w:val="24"/>
                <w:rFonts w:ascii="Times New Roman" w:hAnsi="Times New Roman"/>
              </w:rPr>
              <w:t xml:space="preserv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sz w:val="24"/>
          <w:rFonts w:ascii="Times New Roman" w:hAnsi="Times New Roman" w:cs="Times New Roman"/>
        </w:rPr>
      </w:pPr>
      <w:r>
        <w:rPr>
          <w:sz w:val="24"/>
          <w:b/>
          <w:rFonts w:ascii="Times New Roman" w:hAnsi="Times New Roman"/>
        </w:rPr>
        <w:t xml:space="preserve">Skema EU CR4 - Kreditrisikoeksponering og virkninger af kreditrisikoreduktionsteknikker.</w:t>
      </w:r>
      <w:r>
        <w:rPr>
          <w:sz w:val="24"/>
          <w:rFonts w:ascii="Times New Roman" w:hAnsi="Times New Roman"/>
        </w:rPr>
        <w:t xml:space="preserve"> </w:t>
      </w:r>
      <w:r>
        <w:rPr>
          <w:sz w:val="24"/>
          <w:rFonts w:ascii="Times New Roman" w:hAnsi="Times New Roman"/>
        </w:rPr>
        <w:t xml:space="preserve">Fast format.</w:t>
      </w:r>
    </w:p>
    <w:p w14:paraId="137E3962" w14:textId="789BFD53" w:rsidR="0005278F" w:rsidRPr="00BC439A" w:rsidRDefault="0005278F" w:rsidP="5A0D947F">
      <w:pPr>
        <w:pStyle w:val="ListParagraph"/>
        <w:numPr>
          <w:ilvl w:val="0"/>
          <w:numId w:val="1"/>
        </w:numPr>
        <w:spacing w:after="120"/>
        <w:ind w:left="425" w:hanging="357"/>
        <w:jc w:val="both"/>
        <w:rPr>
          <w:sz w:val="24"/>
          <w:szCs w:val="24"/>
          <w:rFonts w:ascii="Times New Roman" w:hAnsi="Times New Roman"/>
        </w:rPr>
      </w:pPr>
      <w:r>
        <w:rPr>
          <w:sz w:val="24"/>
          <w:rFonts w:ascii="Times New Roman" w:hAnsi="Times New Roman"/>
        </w:rPr>
        <w:t xml:space="preserve">Institutter, der beregner de risikovægtede eksponeringer for kreditrisiko i overensstemmelse med tredje del, afsnit II, kapitel 2, i forordning (EU) nr. 575/2013, offentliggør oplysningerne i artikel 453, litra g), h) og i), i forordning (EU) nr. 575/2013, og i artikel 444, litra e), i forordning (EU) nr. 575/2013 ved at følge instrukserne i dette bilag til udfyldelse af skemaet EU CR4, som findes i bilag XIX til EBA's IT-løsninger.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Forklaring</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w:t>
            </w:r>
          </w:p>
        </w:tc>
        <w:tc>
          <w:tcPr>
            <w:tcW w:w="7654" w:type="dxa"/>
          </w:tcPr>
          <w:p w14:paraId="137E396A"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Eksponeringer inden kreditkonverteringsfaktor og inden kreditrisikoreduktionsteknikker - balanceførte eksponeringer:</w:t>
            </w:r>
            <w:r>
              <w:rPr>
                <w:b/>
                <w:sz w:val="24"/>
                <w:rFonts w:ascii="Times New Roman" w:hAnsi="Times New Roman"/>
              </w:rPr>
              <w:t xml:space="preserve"> </w:t>
            </w:r>
          </w:p>
          <w:p w14:paraId="137E396B" w14:textId="70539396" w:rsidR="0005278F" w:rsidRPr="00BC439A" w:rsidRDefault="0005278F" w:rsidP="0027241B">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Institutterne offentliggør de balanceførte eksponeringer i henhold til rammerne for tilsynsmæssig konsolidering, jf. artikel 111 i CRR, efter specifikke kreditrisikojusteringer, jf. artikel 110 i forordning (EU) nr. 575/2013, yderligere værdijustering, jf. artikel 34 og 105 i forordning (EU) nr. 575/2013, fratrukne beløb, jf. artikel 36, stk. 1, litra m), i forordning (EU) nr. 575/2013, andre reduktioner af kapitalgrundlaget og afskrivninger (som defineret i de gældende regnskabsregler), men inden i) anvendelsen af kreditkonverteringsfaktor som omhandlet i samme artikel, og ii) anvendelsen af kreditrisikoreduktionsteknikker som omhandlet i tredje del, afsnit II, kapitel 4, i forordning (EU) nr. 575/2013.</w:t>
            </w:r>
            <w:r>
              <w:rPr>
                <w:sz w:val="24"/>
                <w:rFonts w:ascii="Times New Roman" w:hAnsi="Times New Roman"/>
              </w:rPr>
              <w:t xml:space="preserve"> </w:t>
            </w:r>
            <w:r>
              <w:rPr>
                <w:sz w:val="24"/>
                <w:rFonts w:ascii="Times New Roman" w:hAnsi="Times New Roman"/>
              </w:rPr>
              <w:t xml:space="preserve">Eksponeringsværdier for leasingkontrakter er omhandlet i artikel 134, stk. 7, i forordning (EU) nr. 575/2013.</w:t>
            </w:r>
            <w:r>
              <w:rPr>
                <w:sz w:val="24"/>
                <w:highlight w:val="yellow"/>
                <w:rFonts w:ascii="Times New Roman" w:hAnsi="Times New Roman"/>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b</w:t>
            </w:r>
          </w:p>
        </w:tc>
        <w:tc>
          <w:tcPr>
            <w:tcW w:w="7654" w:type="dxa"/>
          </w:tcPr>
          <w:p w14:paraId="137E396E"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Eksponeringer inden kreditkonverteringsfaktor og inden kreditrisikoreduktionsteknikker - ikkebalanceførte eksponeringer:</w:t>
            </w:r>
          </w:p>
          <w:p w14:paraId="137E396F" w14:textId="70A24ABD"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Institutterne offentliggør ikkebalanceførte eksponeringer i henhold til rammerne for tilsynsmæssig konsolidering, efter specifikke kreditrisikojusteringer og fratrukne beløb, jf. artikel 36, stk. 1, litra m), i forordning (EU) nr. 575/2013, men inden anvendelse af kreditkonverteringsfaktorer, jf. artikel 111 i forordning (EU) nr. 575/2013 og inden virkningen af kreditrisikoreduktionsteknikker (med anvendelse af tredje del, afsnit II, kapitel 4, i forordning (EU) nr. 575/2013).</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c</w:t>
            </w:r>
          </w:p>
        </w:tc>
        <w:tc>
          <w:tcPr>
            <w:tcW w:w="7654" w:type="dxa"/>
          </w:tcPr>
          <w:p w14:paraId="137E3972"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Eksponeringer efter kreditkonverteringsfaktor og efter kreditrisikoreduktionsteknikker - balanceførte eksponeringer:</w:t>
            </w:r>
            <w:r>
              <w:rPr>
                <w:b/>
                <w:sz w:val="24"/>
                <w:rFonts w:ascii="Times New Roman" w:hAnsi="Times New Roman"/>
              </w:rPr>
              <w:t xml:space="preserve"> </w:t>
            </w:r>
          </w:p>
          <w:p w14:paraId="137E3973" w14:textId="3965907F"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Institutterne offentliggør beløbet for balanceførte eksponeringer i henhold til rammerne for tilsynsmæssig konsolidering, jf. artikel 111 i forordning (EU) nr. 575/2013, efter specifikke kreditrisikojusteringer, jf. artikel 110 i forordning (EU) nr. 575/2013, yderligere værdijustering, jf. artikel 34 og 105 i forordning (EU) nr. 575/2013, fratrukne beløb, jf. artikel 36, stk. 1, litra m), i forordning (EU) nr. 575/2013, andre reduktioner af kapitalgrundlaget og afskrivninger som defineret i de gældende regnskabsregler, efter anvendelse af alle kreditrisikoreduktioner og kreditkonverteringsfaktorer.</w:t>
            </w:r>
            <w:r>
              <w:rPr>
                <w:sz w:val="24"/>
                <w:rFonts w:ascii="Times New Roman" w:hAnsi="Times New Roman"/>
              </w:rPr>
              <w:t xml:space="preserve"> </w:t>
            </w:r>
            <w:r>
              <w:rPr>
                <w:sz w:val="24"/>
                <w:rFonts w:ascii="Times New Roman" w:hAnsi="Times New Roman"/>
              </w:rPr>
              <w:t xml:space="preserve">Dette beløb er det, som risikovægtningen (jf. artikel 113 i forordning (EU) nr. 575/2013 og tredje del, afsnit II, kapitel 2, afdeling 2, i forordning (EU) nr. 575/2013) skal anvendes på.</w:t>
            </w:r>
            <w:r>
              <w:rPr>
                <w:sz w:val="24"/>
                <w:rFonts w:ascii="Times New Roman" w:hAnsi="Times New Roman"/>
              </w:rPr>
              <w:t xml:space="preserve"> </w:t>
            </w:r>
            <w:r>
              <w:rPr>
                <w:sz w:val="24"/>
                <w:rFonts w:ascii="Times New Roman" w:hAnsi="Times New Roman"/>
              </w:rPr>
              <w:t xml:space="preserve">Det er et beløb svarende til nettokreditten, efter anvendelse af kreditrisikoreduktioner og kreditkonverteringsfaktorer.</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d</w:t>
            </w:r>
          </w:p>
        </w:tc>
        <w:tc>
          <w:tcPr>
            <w:tcW w:w="7654" w:type="dxa"/>
          </w:tcPr>
          <w:p w14:paraId="137E3976"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Eksponeringer efter kreditkonverteringsfaktor og efter kreditrisikoreduktionsteknikker - ikkebalanceførte eksponeringer:</w:t>
            </w:r>
            <w:r>
              <w:rPr>
                <w:b/>
                <w:sz w:val="24"/>
                <w:rFonts w:ascii="Times New Roman" w:hAnsi="Times New Roman"/>
              </w:rPr>
              <w:t xml:space="preserve"> </w:t>
            </w:r>
          </w:p>
          <w:p w14:paraId="137E3977" w14:textId="3A31757C"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Institutterne offentliggør beløbet for den ikkebalanceførte eksponeringsværdi efter hensyntagen til specifik kreditrisikojustering som defineret i Kommissionens delegerede forordning (EU) nr. 183/2014</w:t>
            </w:r>
            <w:r>
              <w:rPr>
                <w:rStyle w:val="FootnoteReference"/>
                <w:rFonts w:ascii="Times New Roman" w:eastAsia="Times New Roman" w:hAnsi="Times New Roman" w:cs="Times New Roman"/>
              </w:rPr>
              <w:footnoteReference w:id="3"/>
            </w:r>
            <w:r>
              <w:rPr>
                <w:sz w:val="24"/>
                <w:rFonts w:ascii="Times New Roman" w:hAnsi="Times New Roman"/>
              </w:rPr>
              <w:t xml:space="preserve">, yderligere værdijusteringer og andre reduktioner af kapitalgrundlaget, efter anvendelse af alle kreditrisikoreduktioner og kreditkonverteringsfaktorer.</w:t>
            </w:r>
            <w:r>
              <w:rPr>
                <w:sz w:val="24"/>
                <w:rFonts w:ascii="Times New Roman" w:hAnsi="Times New Roman"/>
              </w:rPr>
              <w:t xml:space="preserve"> </w:t>
            </w:r>
            <w:r>
              <w:rPr>
                <w:sz w:val="24"/>
                <w:rFonts w:ascii="Times New Roman" w:hAnsi="Times New Roman"/>
              </w:rPr>
              <w:t xml:space="preserve">Dette beløb er det, som risikovægtningen (jf. artikel 113 i forordning (EU) nr. 575/2013 og tredje del, afsnit II, kapitel 2, afdeling 2, i forordning (EU) nr. 575/2013) skal anvendes på.</w:t>
            </w:r>
            <w:r>
              <w:rPr>
                <w:sz w:val="24"/>
                <w:rFonts w:ascii="Times New Roman" w:hAnsi="Times New Roman"/>
              </w:rPr>
              <w:t xml:space="preserve"> </w:t>
            </w:r>
            <w:r>
              <w:rPr>
                <w:sz w:val="24"/>
                <w:rFonts w:ascii="Times New Roman" w:hAnsi="Times New Roman"/>
              </w:rPr>
              <w:t xml:space="preserve">Det er et beløb svarende til nettokreditten, efter anvendelse af kreditrisikoreduktioner og kreditkonverteringsfaktorer.</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e</w:t>
            </w:r>
          </w:p>
        </w:tc>
        <w:tc>
          <w:tcPr>
            <w:tcW w:w="7654" w:type="dxa"/>
          </w:tcPr>
          <w:p w14:paraId="137E397A"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Risikovægtede eksponeringer</w:t>
            </w:r>
          </w:p>
          <w:p w14:paraId="137E397B" w14:textId="1F9983D6"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 risikovægtede eksponeringer beregnes i overensstemmelse med tredje del, afsnit II, kapitel 2, afdeling 2, i forordning (EU) nr. 575/2013.</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f</w:t>
            </w:r>
          </w:p>
        </w:tc>
        <w:tc>
          <w:tcPr>
            <w:tcW w:w="7654" w:type="dxa"/>
          </w:tcPr>
          <w:p w14:paraId="137E397E"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Tæthed af de risikovægtede eksponeringer</w:t>
            </w:r>
          </w:p>
          <w:p w14:paraId="137E397F"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(kolonne e/kolonne (c+d) i dette skema)</w:t>
            </w:r>
          </w:p>
          <w:p w14:paraId="137E3980"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Forholdet beregnes ved at dividere værdien af den risikovægtede eksponering i den pågældende eksponeringsklasse (kolonne e i dette skema) med beløbet for de pågældende eksponeringer efter hensyntagen til alle kreditrisikoreduktioner og kreditkonverteringsfaktorer (summen af beløbene i kolonne c og d i dette skema).</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535F36" w:rsidRPr="00BC439A" w14:paraId="7FCC92DA" w14:textId="77777777" w:rsidTr="5A0D947F">
        <w:trPr>
          <w:trHeight w:val="699"/>
        </w:trPr>
        <w:tc>
          <w:tcPr>
            <w:tcW w:w="1413" w:type="dxa"/>
            <w:shd w:val="clear" w:color="auto" w:fill="auto"/>
          </w:tcPr>
          <w:p w14:paraId="22F3AEC0" w14:textId="3F00C73A" w:rsidR="00535F36" w:rsidRPr="00BC439A" w:rsidRDefault="00926A01" w:rsidP="00FB64CF">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1, EU 2a, EU2b, 3, EU 3a, 4, 5, 6, EU 7a, EU 7b, 8, 9, 10, EU 10a, EU 10b og EU 10c</w:t>
            </w:r>
            <w:r>
              <w:rPr>
                <w:sz w:val="24"/>
                <w:rFonts w:ascii="Times New Roman" w:hAnsi="Times New Roman"/>
              </w:rPr>
              <w:t xml:space="preserve"> </w:t>
            </w:r>
          </w:p>
        </w:tc>
        <w:tc>
          <w:tcPr>
            <w:tcW w:w="7654" w:type="dxa"/>
            <w:shd w:val="clear" w:color="auto" w:fill="auto"/>
          </w:tcPr>
          <w:p w14:paraId="7983BEBC" w14:textId="7FFA78E2" w:rsidR="00535F36" w:rsidRPr="00BC439A" w:rsidRDefault="00535F36" w:rsidP="00A518F7">
            <w:pPr>
              <w:spacing w:after="120"/>
              <w:jc w:val="both"/>
              <w:rPr>
                <w:sz w:val="24"/>
                <w:rFonts w:ascii="Times New Roman" w:hAnsi="Times New Roman" w:cs="Times New Roman"/>
              </w:rPr>
            </w:pPr>
            <w:r>
              <w:rPr>
                <w:sz w:val="24"/>
                <w:rFonts w:ascii="Times New Roman" w:hAnsi="Times New Roman"/>
              </w:rPr>
              <w:t xml:space="preserve">Eksponeringsklasser defineret i overensstemmelse med artikel 112 i forordning (EU) nr. 575/2013.</w:t>
            </w:r>
            <w:r>
              <w:rPr>
                <w:sz w:val="24"/>
                <w:rFonts w:ascii="Times New Roman" w:hAnsi="Times New Roman"/>
              </w:rPr>
              <w:t xml:space="preserve"> </w:t>
            </w:r>
          </w:p>
          <w:p w14:paraId="4E391AF9" w14:textId="6574451E" w:rsidR="00535F36" w:rsidRPr="00BC439A" w:rsidRDefault="5682D6C4" w:rsidP="5A0D947F">
            <w:pPr>
              <w:spacing w:after="120"/>
              <w:jc w:val="both"/>
              <w:rPr>
                <w:sz w:val="24"/>
                <w:rFonts w:ascii="Times New Roman" w:eastAsia="Times New Roman" w:hAnsi="Times New Roman" w:cs="Times New Roman"/>
              </w:rPr>
            </w:pPr>
            <w:r>
              <w:rPr>
                <w:sz w:val="24"/>
                <w:rFonts w:ascii="Times New Roman" w:hAnsi="Times New Roman"/>
              </w:rPr>
              <w:t xml:space="preserve">Eksponeringer, der er fordelt i eksponeringsklassen "poster, der repræsenterer securitiseringspositioner", jf. artikel 112, litra m), i forordning (EU) nr. 575/2013, medregnes ikke.</w:t>
            </w:r>
          </w:p>
        </w:tc>
      </w:tr>
      <w:tr w:rsidR="00C337F1" w:rsidRPr="00BC439A" w14:paraId="64CF4F9F" w14:textId="77777777" w:rsidTr="5A0D947F">
        <w:trPr>
          <w:trHeight w:val="699"/>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2853DB1C" w14:textId="6EED0555" w:rsidR="00FF5357" w:rsidRDefault="002A2B60" w:rsidP="00535F36">
            <w:pPr>
              <w:spacing w:after="120"/>
              <w:jc w:val="both"/>
              <w:rPr>
                <w:sz w:val="24"/>
                <w:rFonts w:ascii="Times New Roman" w:eastAsiaTheme="minorHAnsi" w:hAnsi="Times New Roman" w:cs="Times New Roman"/>
              </w:rPr>
            </w:pPr>
            <w:r>
              <w:rPr>
                <w:b/>
                <w:sz w:val="24"/>
                <w:rFonts w:ascii="Times New Roman" w:hAnsi="Times New Roman"/>
              </w:rPr>
              <w:t xml:space="preserve">Offentlige enheder, der ikke er centralregeringer</w:t>
            </w:r>
          </w:p>
          <w:p w14:paraId="7D529948" w14:textId="15F28325" w:rsidR="00C337F1" w:rsidRPr="00BC439A" w:rsidRDefault="00FF5357" w:rsidP="00535F36">
            <w:pPr>
              <w:spacing w:after="120"/>
              <w:jc w:val="both"/>
              <w:rPr>
                <w:sz w:val="24"/>
                <w:rFonts w:ascii="Times New Roman" w:eastAsiaTheme="minorHAnsi" w:hAnsi="Times New Roman" w:cs="Times New Roman"/>
              </w:rPr>
            </w:pPr>
            <w:r>
              <w:rPr>
                <w:sz w:val="24"/>
                <w:rFonts w:ascii="Times New Roman" w:hAnsi="Times New Roman"/>
              </w:rPr>
              <w:t xml:space="preserve">Summen af eksponeringer i række EU 2a og EU 2b.</w:t>
            </w:r>
          </w:p>
        </w:tc>
      </w:tr>
      <w:tr w:rsidR="00535F36" w:rsidRPr="00BC439A" w14:paraId="3305E816" w14:textId="77777777" w:rsidTr="5A0D947F">
        <w:trPr>
          <w:trHeight w:val="699"/>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2a</w:t>
            </w:r>
          </w:p>
        </w:tc>
        <w:tc>
          <w:tcPr>
            <w:tcW w:w="7654" w:type="dxa"/>
            <w:shd w:val="clear" w:color="auto" w:fill="auto"/>
          </w:tcPr>
          <w:p w14:paraId="17AB2AE5" w14:textId="139DE043"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Regionale eller lokale myndigheder</w:t>
            </w:r>
          </w:p>
          <w:p w14:paraId="788C221F" w14:textId="388C84CA"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b), i forordning (EU) nr. 575/2013 og artikel 115, stk. -1, 1, 3, 4 og 5, i forordning (EU) nr. 575/2013 for eksponeringer opgjort efter standardmetoden.</w:t>
            </w:r>
            <w:r>
              <w:rPr>
                <w:rFonts w:ascii="Times New Roman" w:hAnsi="Times New Roman"/>
              </w:rPr>
              <w:t xml:space="preserve"> </w:t>
            </w:r>
          </w:p>
        </w:tc>
      </w:tr>
      <w:tr w:rsidR="00535F36" w:rsidRPr="00BC439A" w14:paraId="6406D71A" w14:textId="77777777" w:rsidTr="5A0D947F">
        <w:trPr>
          <w:trHeight w:val="699"/>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2b</w:t>
            </w:r>
          </w:p>
        </w:tc>
        <w:tc>
          <w:tcPr>
            <w:tcW w:w="7654" w:type="dxa"/>
            <w:shd w:val="clear" w:color="auto" w:fill="auto"/>
          </w:tcPr>
          <w:p w14:paraId="0E9CAEB2" w14:textId="076DA4A8" w:rsidR="00FF5357" w:rsidRDefault="5682D6C4" w:rsidP="5A0D947F">
            <w:pPr>
              <w:spacing w:after="120"/>
              <w:jc w:val="both"/>
              <w:rPr>
                <w:sz w:val="24"/>
                <w:rFonts w:ascii="Times New Roman" w:hAnsi="Times New Roman" w:cs="Times New Roman"/>
              </w:rPr>
            </w:pPr>
            <w:r>
              <w:rPr>
                <w:sz w:val="24"/>
                <w:b/>
                <w:rFonts w:ascii="Times New Roman" w:hAnsi="Times New Roman"/>
              </w:rPr>
              <w:t xml:space="preserve">Offentlige enheder</w:t>
            </w:r>
            <w:r>
              <w:rPr>
                <w:sz w:val="24"/>
                <w:rFonts w:ascii="Times New Roman" w:hAnsi="Times New Roman"/>
              </w:rPr>
              <w:t xml:space="preserve"> </w:t>
            </w:r>
          </w:p>
          <w:p w14:paraId="1BBE065D" w14:textId="524818C4"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4, stk. 1, nr. 8), i forordning (EU) nr. 575/2013, artikel 112, litra c), og artikel 116, stk. 1, 2, 3, 4 og 5, i forordning (EU) nr. 575/2013 for eksponeringer opgjort efter standardmetoden.</w:t>
            </w:r>
          </w:p>
        </w:tc>
      </w:tr>
      <w:tr w:rsidR="00535F36" w:rsidRPr="00BC439A" w14:paraId="273E3177" w14:textId="77777777" w:rsidTr="5A0D947F">
        <w:trPr>
          <w:trHeight w:val="699"/>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shd w:val="clear" w:color="auto" w:fill="auto"/>
          </w:tcPr>
          <w:p w14:paraId="78704303" w14:textId="1DA2D51A" w:rsidR="00FF5357" w:rsidRDefault="5682D6C4" w:rsidP="5A0D947F">
            <w:pPr>
              <w:spacing w:after="120"/>
              <w:jc w:val="both"/>
              <w:rPr>
                <w:sz w:val="24"/>
                <w:rFonts w:ascii="Times New Roman" w:hAnsi="Times New Roman" w:cs="Times New Roman"/>
              </w:rPr>
            </w:pPr>
            <w:r>
              <w:rPr>
                <w:sz w:val="24"/>
                <w:b/>
                <w:rFonts w:ascii="Times New Roman" w:hAnsi="Times New Roman"/>
              </w:rPr>
              <w:t xml:space="preserve">Selskaber</w:t>
            </w:r>
            <w:r>
              <w:rPr>
                <w:sz w:val="24"/>
                <w:rFonts w:ascii="Times New Roman" w:hAnsi="Times New Roman"/>
              </w:rPr>
              <w:t xml:space="preserve"> </w:t>
            </w:r>
          </w:p>
          <w:p w14:paraId="263A5792" w14:textId="0257AF9A"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g), og artikel 122 i forordning (EU) nr. 575/2013.</w:t>
            </w:r>
          </w:p>
        </w:tc>
      </w:tr>
      <w:tr w:rsidR="00535F36" w:rsidRPr="00BC439A" w14:paraId="10225A37" w14:textId="77777777" w:rsidTr="5A0D947F">
        <w:trPr>
          <w:trHeight w:val="699"/>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6.1</w:t>
            </w:r>
          </w:p>
        </w:tc>
        <w:tc>
          <w:tcPr>
            <w:tcW w:w="7654" w:type="dxa"/>
            <w:shd w:val="clear" w:color="auto" w:fill="auto"/>
          </w:tcPr>
          <w:p w14:paraId="520CB388" w14:textId="38E1D245" w:rsidR="00FF5357" w:rsidRPr="00FB64CF" w:rsidRDefault="00FF5357" w:rsidP="5A0D947F">
            <w:pPr>
              <w:spacing w:after="120"/>
              <w:jc w:val="both"/>
              <w:rPr>
                <w:b/>
                <w:bCs/>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Heraf:</w:t>
            </w:r>
            <w:r>
              <w:rPr>
                <w:sz w:val="24"/>
                <w:b/>
                <w:rFonts w:ascii="Times New Roman" w:hAnsi="Times New Roman"/>
              </w:rPr>
              <w:t xml:space="preserve"> </w:t>
            </w:r>
            <w:r>
              <w:rPr>
                <w:sz w:val="24"/>
                <w:b/>
                <w:rFonts w:ascii="Times New Roman" w:hAnsi="Times New Roman"/>
              </w:rPr>
              <w:t xml:space="preserve">specialiseret långivning</w:t>
            </w:r>
          </w:p>
          <w:p w14:paraId="4606DB92" w14:textId="6A3BD835"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122a i forordning (EU) nr. 575/2013.</w:t>
            </w:r>
          </w:p>
        </w:tc>
      </w:tr>
      <w:tr w:rsidR="00535F36" w:rsidRPr="00BC439A" w14:paraId="2FFFC133" w14:textId="77777777" w:rsidTr="5A0D947F">
        <w:trPr>
          <w:trHeight w:val="699"/>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shd w:val="clear" w:color="auto" w:fill="auto"/>
          </w:tcPr>
          <w:p w14:paraId="47E0CC5E" w14:textId="38F4C285" w:rsidR="00FF5357"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Eksponeringer mod efterstillet gæld og egenkapital</w:t>
            </w:r>
          </w:p>
          <w:p w14:paraId="3D20D7B3" w14:textId="20D736B2" w:rsidR="00535F36" w:rsidRPr="00BC439A" w:rsidRDefault="00FF5357" w:rsidP="00535F36">
            <w:pPr>
              <w:spacing w:after="120"/>
              <w:jc w:val="both"/>
              <w:rPr>
                <w:sz w:val="24"/>
                <w:rFonts w:ascii="Times New Roman" w:eastAsiaTheme="minorHAnsi" w:hAnsi="Times New Roman" w:cs="Times New Roman"/>
              </w:rPr>
            </w:pPr>
            <w:r>
              <w:rPr>
                <w:sz w:val="24"/>
                <w:rFonts w:ascii="Times New Roman" w:hAnsi="Times New Roman"/>
              </w:rPr>
              <w:t xml:space="preserve">Summen af eksponeringer i række EU 7a og EU 7b.</w:t>
            </w:r>
          </w:p>
        </w:tc>
      </w:tr>
      <w:tr w:rsidR="00535F36" w:rsidRPr="00BC439A" w14:paraId="18C3B0E5" w14:textId="77777777" w:rsidTr="5A0D947F">
        <w:trPr>
          <w:trHeight w:val="699"/>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7a</w:t>
            </w:r>
          </w:p>
        </w:tc>
        <w:tc>
          <w:tcPr>
            <w:tcW w:w="7654" w:type="dxa"/>
            <w:shd w:val="clear" w:color="auto" w:fill="auto"/>
          </w:tcPr>
          <w:p w14:paraId="235943EF" w14:textId="7B59FDFD"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Eksponeringer mod efterstillet gæld</w:t>
            </w:r>
          </w:p>
          <w:p w14:paraId="7A5E8FE8" w14:textId="01CEFAA6"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k), i forordning (EU) nr. 575/2013 og artikel 128 i forordning (EU) nr. 575/2013.</w:t>
            </w:r>
          </w:p>
        </w:tc>
      </w:tr>
      <w:tr w:rsidR="00535F36" w:rsidRPr="00BC439A" w14:paraId="66F33C3B" w14:textId="77777777" w:rsidTr="5A0D947F">
        <w:trPr>
          <w:trHeight w:val="699"/>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7b</w:t>
            </w:r>
          </w:p>
        </w:tc>
        <w:tc>
          <w:tcPr>
            <w:tcW w:w="7654" w:type="dxa"/>
            <w:shd w:val="clear" w:color="auto" w:fill="auto"/>
          </w:tcPr>
          <w:p w14:paraId="3BED8548" w14:textId="18A49974" w:rsidR="00FF5357"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Aktieeksponeringer</w:t>
            </w:r>
          </w:p>
          <w:p w14:paraId="31034ED0" w14:textId="7C726DCB" w:rsidR="00535F36" w:rsidRPr="00BC439A" w:rsidRDefault="00FF535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p), i forordning (EU) nr. 575/2013 og artikel 133, stk. 1, i forordning (EU) nr. 575/2013.</w:t>
            </w:r>
          </w:p>
        </w:tc>
      </w:tr>
      <w:tr w:rsidR="00535F36" w:rsidRPr="00166E0C" w14:paraId="19C205C7" w14:textId="77777777" w:rsidTr="5A0D947F">
        <w:trPr>
          <w:trHeight w:val="699"/>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shd w:val="clear" w:color="auto" w:fill="auto"/>
          </w:tcPr>
          <w:p w14:paraId="1AD83094" w14:textId="3714119C" w:rsidR="007F1438"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Sikret ved pant i fast ejendom og ADC-eksponeringer</w:t>
            </w:r>
          </w:p>
          <w:p w14:paraId="01108BAD" w14:textId="7A881266" w:rsidR="00535F36" w:rsidRPr="00166E0C" w:rsidRDefault="007F1438" w:rsidP="5A0D947F">
            <w:pPr>
              <w:spacing w:after="120"/>
              <w:jc w:val="both"/>
              <w:rPr>
                <w:sz w:val="24"/>
                <w:rFonts w:ascii="Times New Roman" w:hAnsi="Times New Roman" w:cs="Times New Roman"/>
              </w:rPr>
            </w:pPr>
            <w:r>
              <w:rPr>
                <w:sz w:val="24"/>
                <w:rFonts w:ascii="Times New Roman" w:hAnsi="Times New Roman"/>
              </w:rPr>
              <w:t xml:space="preserve">Eksponeringer sikret ved pant i fast ejendom som defineret i artikel 4, stk. 1, nr. 75)-75f), i forordning (EU) nr. 575/2013 og eksponeringer som defineret i artikel 4, stk. 1, nr. 78a), i forordning (EU) nr. 575/2013 indberettes her.</w:t>
            </w:r>
            <w:r>
              <w:rPr>
                <w:sz w:val="24"/>
                <w:rFonts w:ascii="Times New Roman" w:hAnsi="Times New Roman"/>
              </w:rPr>
              <w:t xml:space="preserve"> </w:t>
            </w:r>
          </w:p>
          <w:p w14:paraId="19E24D73" w14:textId="6A0F3423" w:rsidR="00D60B05" w:rsidRPr="00166E0C" w:rsidRDefault="00D60B05" w:rsidP="00535F36">
            <w:pPr>
              <w:spacing w:after="120"/>
              <w:jc w:val="both"/>
              <w:rPr>
                <w:sz w:val="24"/>
                <w:rFonts w:ascii="Times New Roman" w:eastAsiaTheme="minorHAnsi" w:hAnsi="Times New Roman" w:cs="Times New Roman"/>
              </w:rPr>
            </w:pPr>
            <w:r>
              <w:rPr>
                <w:sz w:val="24"/>
                <w:rFonts w:ascii="Times New Roman" w:hAnsi="Times New Roman"/>
              </w:rPr>
              <w:t xml:space="preserve">Denne række er summen af række 2 og række 9.1</w:t>
            </w:r>
            <w:r>
              <w:rPr>
                <w:sz w:val="24"/>
                <w:rFonts w:ascii="Times New Roman" w:hAnsi="Times New Roman"/>
              </w:rPr>
              <w:t xml:space="preserve"> </w:t>
            </w:r>
            <w:r>
              <w:rPr>
                <w:sz w:val="24"/>
                <w:rFonts w:ascii="Times New Roman" w:hAnsi="Times New Roman"/>
              </w:rPr>
              <w:t xml:space="preserve">9.2,</w:t>
            </w:r>
            <w:r>
              <w:rPr>
                <w:sz w:val="24"/>
                <w:rFonts w:ascii="Times New Roman" w:hAnsi="Times New Roman"/>
              </w:rPr>
              <w:t xml:space="preserve"> </w:t>
            </w:r>
            <w:r>
              <w:rPr>
                <w:sz w:val="24"/>
                <w:rFonts w:ascii="Times New Roman" w:hAnsi="Times New Roman"/>
              </w:rPr>
              <w:t xml:space="preserve">9.3,</w:t>
            </w:r>
            <w:r>
              <w:rPr>
                <w:sz w:val="24"/>
                <w:rFonts w:ascii="Times New Roman" w:hAnsi="Times New Roman"/>
              </w:rPr>
              <w:t xml:space="preserve"> </w:t>
            </w:r>
            <w:r>
              <w:rPr>
                <w:sz w:val="24"/>
                <w:rFonts w:ascii="Times New Roman" w:hAnsi="Times New Roman"/>
              </w:rPr>
              <w:t xml:space="preserve">9.4 og 9.5.</w:t>
            </w:r>
            <w:r>
              <w:rPr>
                <w:sz w:val="24"/>
                <w:rFonts w:ascii="Times New Roman" w:hAnsi="Times New Roman"/>
              </w:rPr>
              <w:t xml:space="preserve"> </w:t>
            </w:r>
          </w:p>
        </w:tc>
      </w:tr>
      <w:tr w:rsidR="00535F36" w:rsidRPr="00166E0C" w14:paraId="02ECFA10" w14:textId="77777777" w:rsidTr="5A0D947F">
        <w:trPr>
          <w:trHeight w:val="699"/>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w:t>
            </w:r>
          </w:p>
        </w:tc>
        <w:tc>
          <w:tcPr>
            <w:tcW w:w="7654" w:type="dxa"/>
            <w:shd w:val="clear" w:color="auto" w:fill="auto"/>
          </w:tcPr>
          <w:p w14:paraId="767946BA" w14:textId="417EA438" w:rsidR="007F1438"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Sikret ved pant i beboelsesejendomme – ikke-IPRE</w:t>
            </w:r>
          </w:p>
          <w:p w14:paraId="4DB2B534" w14:textId="5136C073" w:rsidR="00535F36" w:rsidRPr="00166E0C" w:rsidRDefault="007F1438" w:rsidP="00535F36">
            <w:pPr>
              <w:spacing w:after="120"/>
              <w:jc w:val="both"/>
              <w:rPr>
                <w:bCs/>
                <w:sz w:val="24"/>
                <w:rFonts w:ascii="Times New Roman" w:hAnsi="Times New Roman" w:cs="Times New Roman"/>
              </w:rPr>
            </w:pPr>
            <w:r>
              <w:rPr>
                <w:sz w:val="24"/>
                <w:rFonts w:ascii="Times New Roman" w:hAnsi="Times New Roman"/>
              </w:rPr>
              <w:t xml:space="preserve">Eksponeringer behandlet i overensstemmelse med artikel 125, stk. 1, i forordning (EU) nr. 575/2013 indberettes her.</w:t>
            </w:r>
          </w:p>
          <w:p w14:paraId="39BC2BE6" w14:textId="40A39FE4" w:rsidR="00FD6952" w:rsidRPr="00FB64CF" w:rsidRDefault="00FD6952" w:rsidP="00FB64CF">
            <w:pPr>
              <w:spacing w:after="120"/>
              <w:jc w:val="both"/>
              <w:rPr>
                <w:rFonts w:eastAsiaTheme="minorHAnsi"/>
              </w:rPr>
            </w:pPr>
            <w:r>
              <w:rPr>
                <w:sz w:val="24"/>
                <w:rFonts w:ascii="Times New Roman" w:hAnsi="Times New Roman"/>
              </w:rPr>
              <w:t xml:space="preserve">I denne række offentliggøres også:</w:t>
            </w:r>
            <w:r>
              <w:rPr>
                <w:sz w:val="24"/>
                <w:rFonts w:ascii="Times New Roman" w:hAnsi="Times New Roman"/>
              </w:rPr>
              <w:t xml:space="preserve"> </w:t>
            </w:r>
            <w:r>
              <w:rPr>
                <w:sz w:val="24"/>
                <w:rFonts w:ascii="Times New Roman" w:hAnsi="Times New Roman"/>
              </w:rPr>
              <w:t xml:space="preserve">andre eksponeringer sikret ved pant i beboelsesejendom – ikke IPRE, som ikke opfylder betingelserne i artikel 124, stk. 3, eller en del af en ikke-ADC-eksponering, der overstiger den nominelle værdi af panterettigheden i ejendommen, jf. artikel 124, stk. 1, litra a), i forordning (EU) nr. 575/2013.</w:t>
            </w:r>
          </w:p>
        </w:tc>
      </w:tr>
      <w:tr w:rsidR="00535F36" w:rsidRPr="00BC439A" w14:paraId="095056BC" w14:textId="77777777" w:rsidTr="5A0D947F">
        <w:trPr>
          <w:trHeight w:val="699"/>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9.2</w:t>
            </w:r>
          </w:p>
        </w:tc>
        <w:tc>
          <w:tcPr>
            <w:tcW w:w="7654" w:type="dxa"/>
            <w:shd w:val="clear" w:color="auto" w:fill="auto"/>
          </w:tcPr>
          <w:p w14:paraId="0A4DA91A" w14:textId="6039BA7A" w:rsidR="007F1438"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Sikret ved pant i beboelsesejendomme – IPRE</w:t>
            </w:r>
          </w:p>
          <w:p w14:paraId="683E626E" w14:textId="03E1AF1F" w:rsidR="00535F36" w:rsidRPr="00166E0C" w:rsidRDefault="007F1438" w:rsidP="5A0D947F">
            <w:pPr>
              <w:spacing w:after="120"/>
              <w:jc w:val="both"/>
              <w:rPr>
                <w:sz w:val="24"/>
                <w:rFonts w:ascii="Times New Roman" w:hAnsi="Times New Roman" w:cs="Times New Roman"/>
              </w:rPr>
            </w:pPr>
            <w:r>
              <w:rPr>
                <w:sz w:val="24"/>
                <w:rFonts w:ascii="Times New Roman" w:hAnsi="Times New Roman"/>
              </w:rPr>
              <w:t xml:space="preserve">Kun eksponeringer, der opfylder definitionen i artikel 4, stk. 1, nr. 75b), i forordning (EU) nr. 575/2013, indberettes her, herunder IPRE-eksponeringer, der opfylder en af betingelserne i artikel 124, stk. 2, litra a), nr. ii), nr. 1)-4), i forordning (EU) nr. 575/2013;</w:t>
            </w:r>
            <w:r>
              <w:rPr>
                <w:sz w:val="24"/>
                <w:rFonts w:ascii="Times New Roman" w:hAnsi="Times New Roman"/>
              </w:rPr>
              <w:t xml:space="preserve"> </w:t>
            </w:r>
            <w:r>
              <w:rPr>
                <w:sz w:val="24"/>
                <w:rFonts w:ascii="Times New Roman" w:hAnsi="Times New Roman"/>
              </w:rPr>
              <w:t xml:space="preserve">IPRE-eksponeringer, for hvilke undtagelsen i artikel 125, stk. 2, i forordning (EU) nr. 575/2013 finder anvendelse.</w:t>
            </w:r>
          </w:p>
          <w:p w14:paraId="752E3912" w14:textId="33220D5C" w:rsidR="00900E99" w:rsidRPr="00BC439A" w:rsidRDefault="00900E99" w:rsidP="5A0D947F">
            <w:pPr>
              <w:spacing w:after="120"/>
              <w:jc w:val="both"/>
              <w:rPr>
                <w:sz w:val="24"/>
                <w:rFonts w:ascii="Times New Roman" w:hAnsi="Times New Roman" w:cs="Times New Roman"/>
              </w:rPr>
            </w:pPr>
            <w:r>
              <w:rPr>
                <w:sz w:val="24"/>
                <w:rFonts w:ascii="Times New Roman" w:hAnsi="Times New Roman"/>
              </w:rPr>
              <w:t xml:space="preserve">I denne række offentliggøres også andre eksponeringer sikret ved pant i beboelsesejendom – IPRE, som ikke opfylder betingelserne i artikel 124, stk. 3, eller en del af en ikke-ADC-eksponering, der overstiger den nominelle værdi af panterettigheden i ejendommen, jf. artikel 124, stk. 1, litra b), i forordning (EU) nr. 575/2013.</w:t>
            </w:r>
          </w:p>
        </w:tc>
      </w:tr>
      <w:tr w:rsidR="00535F36" w:rsidRPr="00166E0C" w14:paraId="52BA9448" w14:textId="77777777" w:rsidTr="5A0D947F">
        <w:trPr>
          <w:trHeight w:val="699"/>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w:t>
            </w:r>
          </w:p>
        </w:tc>
        <w:tc>
          <w:tcPr>
            <w:tcW w:w="7654" w:type="dxa"/>
            <w:shd w:val="clear" w:color="auto" w:fill="auto"/>
          </w:tcPr>
          <w:p w14:paraId="4E2BB22E" w14:textId="65455CC2" w:rsidR="007F1438" w:rsidRPr="00FB64CF" w:rsidRDefault="00535F36" w:rsidP="00535F36">
            <w:pPr>
              <w:spacing w:after="120"/>
              <w:jc w:val="both"/>
              <w:rPr>
                <w:b/>
                <w:bCs/>
                <w:sz w:val="24"/>
                <w:rFonts w:ascii="Times New Roman" w:eastAsiaTheme="minorHAnsi" w:hAnsi="Times New Roman" w:cs="Times New Roman"/>
              </w:rPr>
            </w:pPr>
            <w:r>
              <w:rPr>
                <w:b/>
                <w:sz w:val="24"/>
                <w:rFonts w:ascii="Times New Roman" w:hAnsi="Times New Roman"/>
              </w:rPr>
              <w:t xml:space="preserve">Sikret ved pant i erhvervsejendomme – ikke-IPRE</w:t>
            </w:r>
            <w:r>
              <w:rPr>
                <w:b/>
                <w:sz w:val="24"/>
                <w:rFonts w:ascii="Times New Roman" w:hAnsi="Times New Roman"/>
              </w:rPr>
              <w:t xml:space="preserve"> </w:t>
            </w:r>
          </w:p>
          <w:p w14:paraId="599BA328" w14:textId="126EA28D" w:rsidR="00535F36" w:rsidRPr="00166E0C" w:rsidRDefault="007F1438" w:rsidP="00535F36">
            <w:pPr>
              <w:spacing w:after="120"/>
              <w:jc w:val="both"/>
              <w:rPr>
                <w:bCs/>
                <w:sz w:val="24"/>
                <w:rFonts w:ascii="Times New Roman" w:hAnsi="Times New Roman" w:cs="Times New Roman"/>
              </w:rPr>
            </w:pPr>
            <w:r>
              <w:rPr>
                <w:sz w:val="24"/>
                <w:rFonts w:ascii="Times New Roman" w:hAnsi="Times New Roman"/>
              </w:rPr>
              <w:t xml:space="preserve">Eksponeringer behandlet i overensstemmelse med artikel 126, stk. 1, i forordning (EU) nr. 575/2013 indberettes her.</w:t>
            </w:r>
          </w:p>
          <w:p w14:paraId="56DF61DF" w14:textId="3ED6FADA" w:rsidR="00A93447" w:rsidRPr="00FB64CF" w:rsidRDefault="00A93447" w:rsidP="00900E99">
            <w:pPr>
              <w:spacing w:after="120"/>
              <w:jc w:val="both"/>
              <w:rPr>
                <w:sz w:val="24"/>
                <w:rFonts w:ascii="Times New Roman" w:eastAsiaTheme="minorHAnsi" w:hAnsi="Times New Roman"/>
              </w:rPr>
            </w:pPr>
            <w:r>
              <w:rPr>
                <w:sz w:val="24"/>
                <w:rFonts w:ascii="Times New Roman" w:hAnsi="Times New Roman"/>
              </w:rPr>
              <w:t xml:space="preserve">I denne række offentliggøres også:</w:t>
            </w:r>
            <w:r>
              <w:rPr>
                <w:sz w:val="24"/>
                <w:rFonts w:ascii="Times New Roman" w:hAnsi="Times New Roman"/>
              </w:rPr>
              <w:t xml:space="preserve"> </w:t>
            </w:r>
            <w:r>
              <w:rPr>
                <w:sz w:val="24"/>
                <w:rFonts w:ascii="Times New Roman" w:hAnsi="Times New Roman"/>
              </w:rPr>
              <w:t xml:space="preserve">andre eksponeringer sikret ved pant i erhvervsejendom – ikke IPRE, som ikke opfylder betingelserne i artikel 124, stk. 3, eller en del af en ikke-ADC-eksponering, der overstiger den nominelle værdi af panterettigheden i ejendommen, jf. artikel 124, stk. 1, litra a), i forordning (EU) nr. 575/2013.</w:t>
            </w:r>
          </w:p>
        </w:tc>
      </w:tr>
      <w:tr w:rsidR="00535F36" w:rsidRPr="00166E0C" w14:paraId="134726BE" w14:textId="77777777" w:rsidTr="5A0D947F">
        <w:trPr>
          <w:trHeight w:val="699"/>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9.4</w:t>
            </w:r>
          </w:p>
        </w:tc>
        <w:tc>
          <w:tcPr>
            <w:tcW w:w="7654" w:type="dxa"/>
            <w:shd w:val="clear" w:color="auto" w:fill="auto"/>
          </w:tcPr>
          <w:p w14:paraId="606B4A71" w14:textId="586254A3" w:rsidR="00FB4914" w:rsidRPr="00FB64CF" w:rsidRDefault="5682D6C4" w:rsidP="5A0D947F">
            <w:pPr>
              <w:spacing w:after="120"/>
              <w:jc w:val="both"/>
              <w:rPr>
                <w:b/>
                <w:bCs/>
                <w:sz w:val="24"/>
                <w:rFonts w:ascii="Times New Roman" w:hAnsi="Times New Roman" w:cs="Times New Roman"/>
              </w:rPr>
            </w:pPr>
            <w:r>
              <w:rPr>
                <w:b/>
                <w:sz w:val="24"/>
                <w:rFonts w:ascii="Times New Roman" w:hAnsi="Times New Roman"/>
              </w:rPr>
              <w:t xml:space="preserve">Sikret ved pant i erhvervsejendomme – IPRE</w:t>
            </w:r>
          </w:p>
          <w:p w14:paraId="570AD855" w14:textId="377A4690" w:rsidR="00535F36" w:rsidRPr="00166E0C" w:rsidRDefault="00FB4914" w:rsidP="5A0D947F">
            <w:pPr>
              <w:spacing w:after="120"/>
              <w:jc w:val="both"/>
              <w:rPr>
                <w:sz w:val="24"/>
                <w:rFonts w:ascii="Times New Roman" w:hAnsi="Times New Roman" w:cs="Times New Roman"/>
              </w:rPr>
            </w:pPr>
            <w:r>
              <w:rPr>
                <w:sz w:val="24"/>
                <w:rFonts w:ascii="Times New Roman" w:hAnsi="Times New Roman"/>
              </w:rPr>
              <w:t xml:space="preserve">Eksponeringer, der opfylder definitionen i artikel 4, stk. 1, nr. 75b), og artikel 124, stk. 2, litra b), nr. ii), i forordning (EU) nr. 575/2013, indberettes her, herunder IPRE-eksponeringer, for hvilke undtagelsen i artikel 126, stk. 2, i forordning (EU) nr. 575/2013 finder anvendelse.</w:t>
            </w:r>
          </w:p>
          <w:p w14:paraId="17723425" w14:textId="4CA6C755" w:rsidR="00900E99" w:rsidRPr="00166E0C" w:rsidRDefault="00900E99" w:rsidP="5A0D947F">
            <w:pPr>
              <w:spacing w:after="120"/>
              <w:jc w:val="both"/>
              <w:rPr>
                <w:sz w:val="24"/>
                <w:rFonts w:ascii="Times New Roman" w:hAnsi="Times New Roman" w:cs="Times New Roman"/>
              </w:rPr>
            </w:pPr>
            <w:r>
              <w:rPr>
                <w:sz w:val="24"/>
                <w:rFonts w:ascii="Times New Roman" w:hAnsi="Times New Roman"/>
              </w:rPr>
              <w:t xml:space="preserve">I denne række offentliggøres også andre eksponeringer sikret ved pant i erhvervsejendom – IPRE, som ikke opfylder betingelserne i artikel 124, stk. 3, eller en del af en ikke-ADC-eksponering, der overstiger den nominelle værdi af panterettigheden i ejendommen, jf. artikel 124, stk. 1, litra b), i forordning (EU) nr. 575/2013.</w:t>
            </w:r>
          </w:p>
        </w:tc>
      </w:tr>
      <w:tr w:rsidR="00395831" w:rsidRPr="00BC439A" w14:paraId="49538D8A" w14:textId="77777777" w:rsidTr="00FB64CF">
        <w:trPr>
          <w:trHeight w:val="699"/>
        </w:trPr>
        <w:tc>
          <w:tcPr>
            <w:tcW w:w="1413" w:type="dxa"/>
            <w:shd w:val="clear" w:color="auto" w:fill="D9D9D9" w:themeFill="background1" w:themeFillShade="D9"/>
          </w:tcPr>
          <w:p w14:paraId="63BD0DD8" w14:textId="72A0B6E9" w:rsidR="00395831" w:rsidRPr="00BC439A" w:rsidRDefault="00395831" w:rsidP="00535F3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w:t>
            </w:r>
          </w:p>
        </w:tc>
        <w:tc>
          <w:tcPr>
            <w:tcW w:w="7654" w:type="dxa"/>
            <w:shd w:val="clear" w:color="auto" w:fill="D9D9D9" w:themeFill="background1" w:themeFillShade="D9"/>
          </w:tcPr>
          <w:p w14:paraId="66C90862" w14:textId="75D35FB5" w:rsidR="00395831" w:rsidRPr="00BC439A" w:rsidRDefault="00395831" w:rsidP="5A0D947F">
            <w:pPr>
              <w:spacing w:after="120"/>
              <w:jc w:val="both"/>
              <w:rPr>
                <w:sz w:val="24"/>
                <w:rFonts w:ascii="Times New Roman" w:hAnsi="Times New Roman" w:cs="Times New Roman"/>
              </w:rPr>
            </w:pPr>
            <w:r>
              <w:rPr>
                <w:sz w:val="24"/>
                <w:rFonts w:ascii="Times New Roman" w:hAnsi="Times New Roman"/>
              </w:rPr>
              <w:t xml:space="preserve">Ikke relevant</w:t>
            </w:r>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sz w:val="24"/>
                <w:rFonts w:ascii="Times New Roman" w:eastAsia="Times New Roman" w:hAnsi="Times New Roman" w:cs="Times New Roman"/>
              </w:rPr>
            </w:pPr>
            <w:r>
              <w:rPr>
                <w:sz w:val="24"/>
                <w:rFonts w:ascii="Times New Roman" w:hAnsi="Times New Roman"/>
              </w:rPr>
              <w:t xml:space="preserve">12</w:t>
            </w:r>
          </w:p>
        </w:tc>
        <w:tc>
          <w:tcPr>
            <w:tcW w:w="7654" w:type="dxa"/>
          </w:tcPr>
          <w:p w14:paraId="132C0D24" w14:textId="77777777" w:rsidR="00395831" w:rsidRPr="00FB64CF" w:rsidRDefault="00395831" w:rsidP="00926A01">
            <w:pPr>
              <w:spacing w:after="120"/>
              <w:jc w:val="both"/>
              <w:rPr>
                <w:b/>
                <w:bCs/>
                <w:sz w:val="24"/>
                <w:rFonts w:ascii="Times New Roman" w:hAnsi="Times New Roman" w:cs="Times New Roman"/>
              </w:rPr>
            </w:pPr>
            <w:r>
              <w:rPr>
                <w:b/>
                <w:sz w:val="24"/>
                <w:rFonts w:ascii="Times New Roman" w:hAnsi="Times New Roman"/>
              </w:rPr>
              <w:t xml:space="preserve">"I alt"</w:t>
            </w:r>
            <w:r>
              <w:rPr>
                <w:b/>
                <w:sz w:val="24"/>
                <w:rFonts w:ascii="Times New Roman" w:hAnsi="Times New Roman"/>
              </w:rPr>
              <w:t xml:space="preserve"> </w:t>
            </w:r>
          </w:p>
          <w:p w14:paraId="55987C40" w14:textId="74538114" w:rsidR="00395831" w:rsidRPr="00BC439A" w:rsidRDefault="00395831" w:rsidP="5A0D947F">
            <w:pPr>
              <w:spacing w:after="120"/>
              <w:jc w:val="both"/>
              <w:rPr>
                <w:sz w:val="24"/>
                <w:rFonts w:ascii="Times New Roman" w:hAnsi="Times New Roman" w:cs="Times New Roman"/>
              </w:rPr>
            </w:pPr>
            <w:r>
              <w:rPr>
                <w:sz w:val="24"/>
                <w:rFonts w:ascii="Times New Roman" w:hAnsi="Times New Roman"/>
              </w:rPr>
              <w:t xml:space="preserve">Summen af eksponeringer i række 1, 2, 3, EU 3a, 4, 5, 6, 7, 8, 9, 10, EU 10a, EU 10b og EU 10c.</w:t>
            </w:r>
          </w:p>
        </w:tc>
      </w:tr>
    </w:tbl>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sz w:val="24"/>
          <w:rFonts w:ascii="Times New Roman" w:hAnsi="Times New Roman" w:cs="Times New Roman"/>
        </w:rPr>
      </w:pPr>
      <w:r>
        <w:rPr>
          <w:sz w:val="24"/>
          <w:b/>
          <w:rFonts w:ascii="Times New Roman" w:hAnsi="Times New Roman"/>
        </w:rPr>
        <w:t xml:space="preserve">EU Skema CR5 - standardmetoden.</w:t>
      </w:r>
      <w:r>
        <w:rPr>
          <w:sz w:val="24"/>
          <w:rFonts w:ascii="Times New Roman" w:hAnsi="Times New Roman"/>
        </w:rPr>
        <w:t xml:space="preserve"> </w:t>
      </w:r>
      <w:r>
        <w:rPr>
          <w:sz w:val="24"/>
          <w:rFonts w:ascii="Times New Roman" w:hAnsi="Times New Roman"/>
        </w:rPr>
        <w:t xml:space="preserve">Fast format.</w:t>
      </w:r>
    </w:p>
    <w:p w14:paraId="137E3994" w14:textId="0AE68309" w:rsidR="0005278F" w:rsidRPr="00BC439A" w:rsidRDefault="0005278F" w:rsidP="5A0D947F">
      <w:pPr>
        <w:pStyle w:val="ListParagraph"/>
        <w:numPr>
          <w:ilvl w:val="0"/>
          <w:numId w:val="1"/>
        </w:numPr>
        <w:spacing w:after="120"/>
        <w:ind w:left="425" w:hanging="357"/>
        <w:jc w:val="both"/>
        <w:rPr>
          <w:sz w:val="24"/>
          <w:szCs w:val="24"/>
          <w:rFonts w:ascii="Times New Roman" w:hAnsi="Times New Roman"/>
        </w:rPr>
      </w:pPr>
      <w:r>
        <w:rPr>
          <w:sz w:val="24"/>
          <w:rFonts w:ascii="Times New Roman" w:hAnsi="Times New Roman"/>
        </w:rPr>
        <w:t xml:space="preserve">Institutterne offentliggør de oplysninger, som er omhandlet i artikel 444, litra e), i forordning (EU) nr. 575/2013, ved at følge instrukserne i dette bilag til udfyldelse af skema EU CR5, som findes i bilag XIX til EBA's IT-løsninger.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Kolonnereference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b/>
                <w:sz w:val="24"/>
                <w:rFonts w:ascii="Times New Roman" w:hAnsi="Times New Roman" w:cs="Times New Roman"/>
              </w:rPr>
            </w:pPr>
            <w:r>
              <w:rPr>
                <w:b/>
                <w:sz w:val="24"/>
                <w:rFonts w:ascii="Times New Roman" w:hAnsi="Times New Roman"/>
              </w:rPr>
              <w:t xml:space="preserve">Forklaring</w:t>
            </w:r>
          </w:p>
        </w:tc>
      </w:tr>
      <w:tr w:rsidR="0005278F" w:rsidRPr="00BC439A" w14:paraId="137E399E" w14:textId="77777777" w:rsidTr="5A0D947F">
        <w:trPr>
          <w:trHeight w:val="316"/>
        </w:trPr>
        <w:tc>
          <w:tcPr>
            <w:tcW w:w="1413" w:type="dxa"/>
            <w:vAlign w:val="center"/>
          </w:tcPr>
          <w:p w14:paraId="137E399B" w14:textId="22A2BDCD" w:rsidR="0005278F" w:rsidRPr="00BC439A" w:rsidRDefault="0005278F"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a-y</w:t>
            </w:r>
          </w:p>
        </w:tc>
        <w:tc>
          <w:tcPr>
            <w:tcW w:w="7654" w:type="dxa"/>
          </w:tcPr>
          <w:p w14:paraId="137E399C"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Risikovægt:</w:t>
            </w:r>
            <w:r>
              <w:rPr>
                <w:b/>
                <w:sz w:val="24"/>
                <w:rFonts w:ascii="Times New Roman" w:hAnsi="Times New Roman"/>
              </w:rPr>
              <w:t xml:space="preserve"> </w:t>
            </w:r>
          </w:p>
          <w:p w14:paraId="137E399D" w14:textId="6FB71B4F" w:rsidR="0005278F" w:rsidRPr="00BC439A" w:rsidRDefault="0005278F" w:rsidP="004F3087">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Institutterne offentliggør oplysninger om tildeling af risikovægte i de forskellige eksponeringsklasser i henhold til tredje del, afsnit II, kapitel 2, afdeling 2, i forordning (EU) nr. 575/2013.</w:t>
            </w:r>
          </w:p>
        </w:tc>
      </w:tr>
      <w:tr w:rsidR="0005278F" w:rsidRPr="00BC439A" w14:paraId="137E39A5" w14:textId="77777777" w:rsidTr="5A0D947F">
        <w:trPr>
          <w:trHeight w:val="316"/>
        </w:trPr>
        <w:tc>
          <w:tcPr>
            <w:tcW w:w="1413" w:type="dxa"/>
            <w:vAlign w:val="center"/>
          </w:tcPr>
          <w:p w14:paraId="137E399F" w14:textId="58582E93" w:rsidR="0005278F" w:rsidRPr="00BC439A" w:rsidRDefault="00AF4BEA"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z</w:t>
            </w:r>
          </w:p>
        </w:tc>
        <w:tc>
          <w:tcPr>
            <w:tcW w:w="7654" w:type="dxa"/>
          </w:tcPr>
          <w:p w14:paraId="137E39A0"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I alt:</w:t>
            </w:r>
            <w:r>
              <w:rPr>
                <w:b/>
                <w:sz w:val="24"/>
                <w:rFonts w:ascii="Times New Roman" w:hAnsi="Times New Roman"/>
              </w:rPr>
              <w:t xml:space="preserve"> </w:t>
            </w:r>
          </w:p>
          <w:p w14:paraId="137E39A1"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Det samlede beløb for balanceførte og ikkebalanceførte eksponeringer i henhold til rammerne for tilsynsmæssig konsolidering:</w:t>
            </w:r>
            <w:r>
              <w:rPr>
                <w:sz w:val="24"/>
                <w:rFonts w:ascii="Times New Roman" w:hAnsi="Times New Roman"/>
              </w:rPr>
              <w:t xml:space="preserve"> </w:t>
            </w:r>
          </w:p>
          <w:p w14:paraId="137E39A2" w14:textId="6B6AE66E"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efter specifikke kreditrisikojusteringer, jf. artikel 110 i forordning (EU) nr. 575/2013, yderligere værdijusteringer, jf. artikel 34 og 105 i forordning (EU) nr. 575/2013, fratrukne beløb, jf. artikel 36, stk. 1, litra m), i forordning (EU) nr. 575/2013, andre reduktioner af kapitalgrundlaget og afskrivninger (som defineret i de gældende regnskabsregler) for balanceførte eksponeringer, i overensstemmelse med artikel 111 i forordning (EU) nr. 575/2013</w:t>
            </w:r>
          </w:p>
          <w:p w14:paraId="137E39A3" w14:textId="5D0C5323"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 efter specifikke kreditrisikojusteringer og fratrukne beløb, jf. artikel 36, stk. 1, litra m), i forordning (EU) nr. 575/2013 for ikkebalanceførte eksponeringer, jf. artikel 111 i forordning (EU) nr. 575/2013</w:t>
            </w:r>
          </w:p>
          <w:p w14:paraId="137E39A4" w14:textId="77777777" w:rsidR="0005278F" w:rsidRPr="00BC439A" w:rsidRDefault="0005278F" w:rsidP="004F3087">
            <w:pPr>
              <w:autoSpaceDE w:val="0"/>
              <w:autoSpaceDN w:val="0"/>
              <w:adjustRightInd w:val="0"/>
              <w:spacing w:after="120"/>
              <w:jc w:val="both"/>
              <w:rPr>
                <w:iCs/>
                <w:sz w:val="24"/>
                <w:rFonts w:ascii="Times New Roman" w:eastAsia="Times New Roman" w:hAnsi="Times New Roman" w:cs="Times New Roman"/>
              </w:rPr>
            </w:pPr>
            <w:r>
              <w:rPr>
                <w:sz w:val="24"/>
                <w:rFonts w:ascii="Times New Roman" w:hAnsi="Times New Roman"/>
              </w:rPr>
              <w:t xml:space="preserve">— efter i) anvendelse af konverteringsfaktorer som anført i samme artikel, og ii) anvendelse af kreditrisikoreduktionsteknikker som anført i tredje del, afsnit II, kapitel 4 i CRR for både balanceførte og ikkebalanceførte eksponeringer.</w:t>
            </w:r>
          </w:p>
        </w:tc>
      </w:tr>
      <w:tr w:rsidR="0005278F" w:rsidRPr="00BC439A" w14:paraId="137E39A9" w14:textId="77777777" w:rsidTr="5A0D947F">
        <w:trPr>
          <w:trHeight w:val="316"/>
        </w:trPr>
        <w:tc>
          <w:tcPr>
            <w:tcW w:w="1413" w:type="dxa"/>
            <w:vAlign w:val="center"/>
          </w:tcPr>
          <w:p w14:paraId="137E39A6" w14:textId="0F8A40D0" w:rsidR="0005278F" w:rsidRPr="00BC439A" w:rsidRDefault="00AF4BEA" w:rsidP="004F3087">
            <w:pPr>
              <w:autoSpaceDE w:val="0"/>
              <w:autoSpaceDN w:val="0"/>
              <w:adjustRightInd w:val="0"/>
              <w:spacing w:after="120"/>
              <w:rPr>
                <w:sz w:val="24"/>
                <w:rFonts w:ascii="Times New Roman" w:eastAsia="Times New Roman" w:hAnsi="Times New Roman" w:cs="Times New Roman"/>
              </w:rPr>
            </w:pPr>
            <w:r>
              <w:rPr>
                <w:sz w:val="24"/>
                <w:rFonts w:ascii="Times New Roman" w:hAnsi="Times New Roman"/>
              </w:rPr>
              <w:t xml:space="preserve">aa</w:t>
            </w:r>
          </w:p>
        </w:tc>
        <w:tc>
          <w:tcPr>
            <w:tcW w:w="7654" w:type="dxa"/>
          </w:tcPr>
          <w:p w14:paraId="137E39A7" w14:textId="77777777" w:rsidR="0005278F" w:rsidRPr="00BC439A" w:rsidRDefault="0005278F" w:rsidP="004F3087">
            <w:pPr>
              <w:autoSpaceDE w:val="0"/>
              <w:autoSpaceDN w:val="0"/>
              <w:adjustRightInd w:val="0"/>
              <w:spacing w:after="120"/>
              <w:jc w:val="both"/>
              <w:rPr>
                <w:b/>
                <w:iCs/>
                <w:sz w:val="24"/>
                <w:rFonts w:ascii="Times New Roman" w:eastAsia="Times New Roman" w:hAnsi="Times New Roman" w:cs="Times New Roman"/>
              </w:rPr>
            </w:pPr>
            <w:r>
              <w:rPr>
                <w:b/>
                <w:sz w:val="24"/>
                <w:rFonts w:ascii="Times New Roman" w:hAnsi="Times New Roman"/>
              </w:rPr>
              <w:t xml:space="preserve">heraf ikkeratede eksponeringer:</w:t>
            </w:r>
          </w:p>
          <w:p w14:paraId="137E39A8" w14:textId="3CDE48FF" w:rsidR="0005278F" w:rsidRPr="00BC439A" w:rsidRDefault="0005278F" w:rsidP="5A0D947F">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Eksponeringer, for hvilke der ikke foreligger en kreditvurdering udarbejdet af et udpeget ECAI, og for hvilke, der anvendes specifikke risikovægte afhængig af deres eksponeringsklasse, som anført i artikel 113-134 i forordning (EU) nr. 575/2013</w:t>
            </w:r>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b/>
                <w:sz w:val="24"/>
                <w:rFonts w:ascii="Times New Roman" w:hAnsi="Times New Roman" w:cs="Times New Roman"/>
              </w:rPr>
            </w:pPr>
            <w:r>
              <w:rPr>
                <w:b/>
                <w:sz w:val="24"/>
                <w:rFonts w:ascii="Times New Roman" w:hAnsi="Times New Roman"/>
              </w:rPr>
              <w:t xml:space="preserve">Række nr.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b/>
                <w:sz w:val="24"/>
                <w:rFonts w:ascii="Times New Roman" w:hAnsi="Times New Roman" w:cs="Times New Roman"/>
              </w:rPr>
            </w:pPr>
            <w:r>
              <w:rPr>
                <w:b/>
                <w:sz w:val="24"/>
                <w:rFonts w:ascii="Times New Roman" w:hAnsi="Times New Roman"/>
              </w:rPr>
              <w:t xml:space="preserve">Henvisninger til retsakter og instrukser</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color w:val="000000"/>
                <w:sz w:val="24"/>
                <w:rFonts w:ascii="Times New Roman" w:hAnsi="Times New Roman" w:cs="Times New Roman"/>
              </w:rPr>
            </w:pPr>
            <w:r>
              <w:rPr>
                <w:b/>
                <w:sz w:val="24"/>
                <w:rFonts w:ascii="Times New Roman" w:hAnsi="Times New Roman"/>
              </w:rPr>
              <w:t xml:space="preserve">Forklaring</w:t>
            </w:r>
          </w:p>
        </w:tc>
      </w:tr>
      <w:tr w:rsidR="00B731E6" w:rsidRPr="00BC439A" w14:paraId="633F9A94" w14:textId="77777777" w:rsidTr="5A0D947F">
        <w:trPr>
          <w:trHeight w:val="507"/>
        </w:trPr>
        <w:tc>
          <w:tcPr>
            <w:tcW w:w="1413" w:type="dxa"/>
            <w:shd w:val="clear" w:color="auto" w:fill="auto"/>
          </w:tcPr>
          <w:p w14:paraId="57A9AA9B" w14:textId="01045E65" w:rsidR="00B731E6" w:rsidRPr="00FB64CF"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 EU2a, EU 2b, 3, EU 3a, 4, 5, 6, EU 7a, EU 7b, 8, 9, 10, EU 10a, EU 10b og EU 10c</w:t>
            </w:r>
          </w:p>
        </w:tc>
        <w:tc>
          <w:tcPr>
            <w:tcW w:w="7654" w:type="dxa"/>
            <w:shd w:val="clear" w:color="auto" w:fill="auto"/>
          </w:tcPr>
          <w:p w14:paraId="2302E80F" w14:textId="03182913" w:rsidR="00B731E6" w:rsidRPr="00BC439A" w:rsidRDefault="00B731E6" w:rsidP="00B731E6">
            <w:pPr>
              <w:spacing w:after="120"/>
              <w:jc w:val="both"/>
              <w:rPr>
                <w:sz w:val="24"/>
                <w:rFonts w:ascii="Times New Roman" w:hAnsi="Times New Roman" w:cs="Times New Roman"/>
              </w:rPr>
            </w:pPr>
            <w:r>
              <w:rPr>
                <w:sz w:val="24"/>
                <w:rFonts w:ascii="Times New Roman" w:hAnsi="Times New Roman"/>
              </w:rPr>
              <w:t xml:space="preserve">Eksponeringsklasser i overensstemmelse med artikel 112 i forordning (EU) nr. 575/2013.</w:t>
            </w:r>
            <w:r>
              <w:rPr>
                <w:sz w:val="24"/>
                <w:rFonts w:ascii="Times New Roman" w:hAnsi="Times New Roman"/>
              </w:rPr>
              <w:t xml:space="preserve"> </w:t>
            </w:r>
          </w:p>
          <w:p w14:paraId="418D4291" w14:textId="757AEF54" w:rsidR="00B731E6" w:rsidRPr="00BC439A" w:rsidRDefault="0B701945" w:rsidP="5A0D947F">
            <w:pPr>
              <w:spacing w:after="120"/>
              <w:jc w:val="both"/>
              <w:rPr>
                <w:sz w:val="24"/>
                <w:rFonts w:ascii="Times New Roman" w:hAnsi="Times New Roman" w:cs="Times New Roman"/>
              </w:rPr>
            </w:pPr>
            <w:r>
              <w:rPr>
                <w:sz w:val="24"/>
                <w:rFonts w:ascii="Times New Roman" w:hAnsi="Times New Roman"/>
              </w:rPr>
              <w:t xml:space="preserve">Eksponeringer, der er fordelt i eksponeringsklassen "poster, der repræsenterer securitiseringspositioner", jf. artikel 112, litra m), i forordning (EU) nr. 575/2013, medregnes ikke.</w:t>
            </w:r>
          </w:p>
        </w:tc>
      </w:tr>
      <w:tr w:rsidR="00AF5033" w:rsidRPr="00BC439A" w14:paraId="685DA180" w14:textId="77777777" w:rsidTr="5A0D947F">
        <w:trPr>
          <w:trHeight w:val="699"/>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2</w:t>
            </w:r>
          </w:p>
        </w:tc>
        <w:tc>
          <w:tcPr>
            <w:tcW w:w="7654" w:type="dxa"/>
            <w:shd w:val="clear" w:color="auto" w:fill="auto"/>
          </w:tcPr>
          <w:p w14:paraId="79E951C7" w14:textId="311E1895" w:rsidR="00F26067" w:rsidRPr="00FB64CF" w:rsidRDefault="009B6905" w:rsidP="00AB03E9">
            <w:pPr>
              <w:spacing w:after="120"/>
              <w:jc w:val="both"/>
              <w:rPr>
                <w:b/>
                <w:bCs/>
                <w:sz w:val="24"/>
                <w:rFonts w:ascii="Times New Roman" w:eastAsiaTheme="minorHAnsi" w:hAnsi="Times New Roman" w:cs="Times New Roman"/>
              </w:rPr>
            </w:pPr>
            <w:r>
              <w:rPr>
                <w:b/>
                <w:sz w:val="24"/>
                <w:rFonts w:ascii="Times New Roman" w:hAnsi="Times New Roman"/>
              </w:rPr>
              <w:t xml:space="preserve">Offentlige enheder, der ikke er centralregeringer</w:t>
            </w:r>
            <w:r>
              <w:rPr>
                <w:b/>
                <w:sz w:val="24"/>
                <w:rFonts w:ascii="Times New Roman" w:hAnsi="Times New Roman"/>
              </w:rPr>
              <w:t xml:space="preserve"> </w:t>
            </w:r>
          </w:p>
          <w:p w14:paraId="4CF4DA0A" w14:textId="6AA1E2BE" w:rsidR="00AF5033" w:rsidRPr="00BC439A" w:rsidRDefault="00F26067" w:rsidP="00AB03E9">
            <w:pPr>
              <w:spacing w:after="120"/>
              <w:jc w:val="both"/>
              <w:rPr>
                <w:sz w:val="24"/>
                <w:rFonts w:ascii="Times New Roman" w:eastAsiaTheme="minorHAnsi" w:hAnsi="Times New Roman" w:cs="Times New Roman"/>
              </w:rPr>
            </w:pPr>
            <w:r>
              <w:rPr>
                <w:sz w:val="24"/>
                <w:rFonts w:ascii="Times New Roman" w:hAnsi="Times New Roman"/>
              </w:rPr>
              <w:t xml:space="preserve">Summen af eksponeringer i række EU 2a og EU 2b.</w:t>
            </w:r>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2a</w:t>
            </w:r>
          </w:p>
        </w:tc>
        <w:tc>
          <w:tcPr>
            <w:tcW w:w="7654" w:type="dxa"/>
            <w:shd w:val="clear" w:color="auto" w:fill="auto"/>
          </w:tcPr>
          <w:p w14:paraId="6E395D8A" w14:textId="5F849253"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Regionale eller lokale myndigheder</w:t>
            </w:r>
          </w:p>
          <w:p w14:paraId="0F0B69B5" w14:textId="1A951C0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b), i forordning (EU) nr. 575/2013 og artikel 115, stk. -1, 1, 3, 4 og 5, i forordning (EU) nr. 575/2013 for eksponeringer opgjort efter standardmetoden.</w:t>
            </w:r>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2b</w:t>
            </w:r>
          </w:p>
        </w:tc>
        <w:tc>
          <w:tcPr>
            <w:tcW w:w="7654" w:type="dxa"/>
            <w:shd w:val="clear" w:color="auto" w:fill="auto"/>
          </w:tcPr>
          <w:p w14:paraId="6B0874A8" w14:textId="7C1E20B6"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Offentlige enheder</w:t>
            </w:r>
          </w:p>
          <w:p w14:paraId="042D63D7" w14:textId="03ACF4BC"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4, stk. 1, nr. 8), i forordning (EU) nr. 575/2013, artikel 112. litra c), og artikel 116, stk. 1, 2, 3, 4 og 5, i forordning (EU) nr. 575/2013 for eksponeringer opgjort efter standardmetoden.</w:t>
            </w:r>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w:t>
            </w:r>
          </w:p>
        </w:tc>
        <w:tc>
          <w:tcPr>
            <w:tcW w:w="7654" w:type="dxa"/>
            <w:shd w:val="clear" w:color="auto" w:fill="auto"/>
          </w:tcPr>
          <w:p w14:paraId="0D63781E" w14:textId="3D73F3E2"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Selskaber</w:t>
            </w:r>
          </w:p>
          <w:p w14:paraId="6AFAC788" w14:textId="55730926"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g), og artikel 122 i forordning (EU) nr. 575/2013.</w:t>
            </w:r>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6.1</w:t>
            </w:r>
          </w:p>
        </w:tc>
        <w:tc>
          <w:tcPr>
            <w:tcW w:w="7654" w:type="dxa"/>
            <w:shd w:val="clear" w:color="auto" w:fill="auto"/>
          </w:tcPr>
          <w:p w14:paraId="7434934B" w14:textId="62424925" w:rsidR="00F26067" w:rsidRPr="00FB64CF" w:rsidRDefault="00F26067" w:rsidP="5A0D947F">
            <w:pPr>
              <w:spacing w:after="120"/>
              <w:jc w:val="both"/>
              <w:rPr>
                <w:b/>
                <w:bCs/>
                <w:sz w:val="24"/>
                <w:rFonts w:ascii="Times New Roman" w:hAnsi="Times New Roman" w:cs="Times New Roman"/>
              </w:rPr>
            </w:pPr>
            <w:r>
              <w:rPr>
                <w:sz w:val="24"/>
                <w:rFonts w:ascii="Times New Roman" w:hAnsi="Times New Roman"/>
              </w:rPr>
              <w:t xml:space="preserve"> </w:t>
            </w:r>
            <w:r>
              <w:rPr>
                <w:sz w:val="24"/>
                <w:b/>
                <w:rFonts w:ascii="Times New Roman" w:hAnsi="Times New Roman"/>
              </w:rPr>
              <w:t xml:space="preserve">Heraf:</w:t>
            </w:r>
            <w:r>
              <w:rPr>
                <w:sz w:val="24"/>
                <w:b/>
                <w:rFonts w:ascii="Times New Roman" w:hAnsi="Times New Roman"/>
              </w:rPr>
              <w:t xml:space="preserve"> </w:t>
            </w:r>
            <w:r>
              <w:rPr>
                <w:sz w:val="24"/>
                <w:b/>
                <w:rFonts w:ascii="Times New Roman" w:hAnsi="Times New Roman"/>
              </w:rPr>
              <w:t xml:space="preserve">specialiseret långivning</w:t>
            </w:r>
          </w:p>
          <w:p w14:paraId="24C0DA08" w14:textId="36A32BF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122a i forordning (EU) nr. 575/2013.</w:t>
            </w:r>
            <w:r>
              <w:rPr>
                <w:sz w:val="24"/>
                <w:rFonts w:ascii="Times New Roman" w:hAnsi="Times New Roman"/>
              </w:rPr>
              <w:t xml:space="preserve"> </w:t>
            </w:r>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7</w:t>
            </w:r>
          </w:p>
        </w:tc>
        <w:tc>
          <w:tcPr>
            <w:tcW w:w="7654" w:type="dxa"/>
            <w:shd w:val="clear" w:color="auto" w:fill="auto"/>
          </w:tcPr>
          <w:p w14:paraId="4D223688" w14:textId="3E9BBE9B" w:rsidR="00F2606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Eksponeringer mod efterstillet gæld og egenkapital</w:t>
            </w:r>
          </w:p>
          <w:p w14:paraId="0AA0F933" w14:textId="77EC0BD5" w:rsidR="00B731E6" w:rsidRPr="00BC439A" w:rsidRDefault="00F26067" w:rsidP="00B731E6">
            <w:pPr>
              <w:spacing w:after="120"/>
              <w:jc w:val="both"/>
              <w:rPr>
                <w:sz w:val="24"/>
                <w:rFonts w:ascii="Times New Roman" w:eastAsiaTheme="minorHAnsi" w:hAnsi="Times New Roman" w:cs="Times New Roman"/>
              </w:rPr>
            </w:pPr>
            <w:r>
              <w:rPr>
                <w:sz w:val="24"/>
                <w:rFonts w:ascii="Times New Roman" w:hAnsi="Times New Roman"/>
              </w:rPr>
              <w:t xml:space="preserve">Summen af rækker defineret nedenfor (EU 7a og EU 7b).</w:t>
            </w:r>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7a</w:t>
            </w:r>
          </w:p>
        </w:tc>
        <w:tc>
          <w:tcPr>
            <w:tcW w:w="7654" w:type="dxa"/>
            <w:shd w:val="clear" w:color="auto" w:fill="auto"/>
          </w:tcPr>
          <w:p w14:paraId="2087D858" w14:textId="358EEE2E"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Eksponeringer mod efterstillet gæld</w:t>
            </w:r>
          </w:p>
          <w:p w14:paraId="6A91C57C" w14:textId="5BCEFCB5"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k), i forordning (EU) nr. 575/2013 og artikel 128 i forordning (EU) nr. 575/2013.</w:t>
            </w:r>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EU 7b</w:t>
            </w:r>
          </w:p>
        </w:tc>
        <w:tc>
          <w:tcPr>
            <w:tcW w:w="7654" w:type="dxa"/>
            <w:shd w:val="clear" w:color="auto" w:fill="auto"/>
          </w:tcPr>
          <w:p w14:paraId="1433F3D8" w14:textId="30F87742"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Aktieeksponeringer</w:t>
            </w:r>
          </w:p>
          <w:p w14:paraId="191A2924" w14:textId="2CDA6797"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Eksponeringer som defineret i artikel 112, litra p), i forordning (EU) nr. 575/2013 og artikel 133, stk. 1, i forordning (EU) nr. 575/2013.</w:t>
            </w:r>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w:t>
            </w:r>
          </w:p>
        </w:tc>
        <w:tc>
          <w:tcPr>
            <w:tcW w:w="7654" w:type="dxa"/>
            <w:shd w:val="clear" w:color="auto" w:fill="auto"/>
          </w:tcPr>
          <w:p w14:paraId="6F18D30C" w14:textId="20BDB687" w:rsidR="00F2606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Sikret ved pant i fast ejendom og ADC-eksponeringer</w:t>
            </w:r>
          </w:p>
          <w:p w14:paraId="652029AE" w14:textId="28474DBD" w:rsidR="00B731E6" w:rsidRPr="00166E0C" w:rsidRDefault="00F26067" w:rsidP="5A0D947F">
            <w:pPr>
              <w:spacing w:after="120"/>
              <w:jc w:val="both"/>
              <w:rPr>
                <w:sz w:val="24"/>
                <w:rFonts w:ascii="Times New Roman" w:hAnsi="Times New Roman" w:cs="Times New Roman"/>
              </w:rPr>
            </w:pPr>
            <w:r>
              <w:rPr>
                <w:sz w:val="24"/>
                <w:rFonts w:ascii="Times New Roman" w:hAnsi="Times New Roman"/>
              </w:rPr>
              <w:t xml:space="preserve">Eksponeringer sikret ved pant i fast ejendom som defineret i artikel 4, stk. 1, nr. 75)-75f), i forordning (EU) nr. 575/2013 og eksponeringer som defineret i artikel 4, stk. 1, nr. 78a), i forordning (EU) nr. 575/2013 indberettes her.</w:t>
            </w:r>
          </w:p>
          <w:p w14:paraId="03F0288C" w14:textId="5F4104D7" w:rsidR="00324117" w:rsidRPr="00166E0C" w:rsidRDefault="00324117" w:rsidP="00B731E6">
            <w:pPr>
              <w:spacing w:after="120"/>
              <w:jc w:val="both"/>
              <w:rPr>
                <w:sz w:val="24"/>
                <w:rFonts w:ascii="Times New Roman" w:eastAsiaTheme="minorHAnsi" w:hAnsi="Times New Roman" w:cs="Times New Roman"/>
              </w:rPr>
            </w:pPr>
            <w:r>
              <w:rPr>
                <w:sz w:val="24"/>
                <w:rFonts w:ascii="Times New Roman" w:hAnsi="Times New Roman"/>
              </w:rPr>
              <w:t xml:space="preserve">Denne række er summen af række 2 og række 9.1</w:t>
            </w:r>
            <w:r>
              <w:rPr>
                <w:sz w:val="24"/>
                <w:rFonts w:ascii="Times New Roman" w:hAnsi="Times New Roman"/>
              </w:rPr>
              <w:t xml:space="preserve"> </w:t>
            </w:r>
            <w:r>
              <w:rPr>
                <w:sz w:val="24"/>
                <w:rFonts w:ascii="Times New Roman" w:hAnsi="Times New Roman"/>
              </w:rPr>
              <w:t xml:space="preserve">9.2</w:t>
            </w:r>
            <w:r>
              <w:rPr>
                <w:sz w:val="24"/>
                <w:rFonts w:ascii="Times New Roman" w:hAnsi="Times New Roman"/>
              </w:rPr>
              <w:t xml:space="preserve"> </w:t>
            </w:r>
            <w:r>
              <w:rPr>
                <w:sz w:val="24"/>
                <w:rFonts w:ascii="Times New Roman" w:hAnsi="Times New Roman"/>
              </w:rPr>
              <w:t xml:space="preserve">9.3</w:t>
            </w:r>
            <w:r>
              <w:rPr>
                <w:sz w:val="24"/>
                <w:rFonts w:ascii="Times New Roman" w:hAnsi="Times New Roman"/>
              </w:rPr>
              <w:t xml:space="preserve"> </w:t>
            </w:r>
            <w:r>
              <w:rPr>
                <w:sz w:val="24"/>
                <w:rFonts w:ascii="Times New Roman" w:hAnsi="Times New Roman"/>
              </w:rPr>
              <w:t xml:space="preserve">9.4</w:t>
            </w:r>
            <w:r>
              <w:rPr>
                <w:sz w:val="24"/>
                <w:rFonts w:ascii="Times New Roman" w:hAnsi="Times New Roman"/>
              </w:rPr>
              <w:t xml:space="preserve"> </w:t>
            </w:r>
            <w:r>
              <w:rPr>
                <w:sz w:val="24"/>
                <w:rFonts w:ascii="Times New Roman" w:hAnsi="Times New Roman"/>
              </w:rPr>
              <w:t xml:space="preserve">9.5</w:t>
            </w:r>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w:t>
            </w:r>
          </w:p>
        </w:tc>
        <w:tc>
          <w:tcPr>
            <w:tcW w:w="7654" w:type="dxa"/>
            <w:shd w:val="clear" w:color="auto" w:fill="auto"/>
          </w:tcPr>
          <w:p w14:paraId="0DE2BD5F" w14:textId="7880F40C" w:rsidR="00F26067" w:rsidRPr="00FB64CF" w:rsidRDefault="00B731E6" w:rsidP="007750BC">
            <w:pPr>
              <w:spacing w:after="120"/>
              <w:jc w:val="both"/>
              <w:rPr>
                <w:b/>
                <w:bCs/>
                <w:sz w:val="24"/>
                <w:rFonts w:ascii="Times New Roman" w:eastAsiaTheme="minorHAnsi" w:hAnsi="Times New Roman" w:cs="Times New Roman"/>
              </w:rPr>
            </w:pPr>
            <w:r>
              <w:rPr>
                <w:b/>
                <w:sz w:val="24"/>
                <w:rFonts w:ascii="Times New Roman" w:hAnsi="Times New Roman"/>
              </w:rPr>
              <w:t xml:space="preserve">Sikret ved pant i beboelsesejendomme – ikke-IPRE</w:t>
            </w:r>
          </w:p>
          <w:p w14:paraId="1A8747F6" w14:textId="045D4EEB" w:rsidR="00F26067" w:rsidRPr="00166E0C" w:rsidRDefault="00F26067" w:rsidP="007750BC">
            <w:pPr>
              <w:spacing w:after="120"/>
              <w:jc w:val="both"/>
              <w:rPr>
                <w:bCs/>
                <w:sz w:val="24"/>
                <w:rFonts w:ascii="Times New Roman" w:hAnsi="Times New Roman" w:cs="Times New Roman"/>
              </w:rPr>
            </w:pPr>
            <w:r>
              <w:rPr>
                <w:sz w:val="24"/>
                <w:rFonts w:ascii="Times New Roman" w:hAnsi="Times New Roman"/>
              </w:rPr>
              <w:t xml:space="preserve">Eksponeringer behandlet i overensstemmelse med artikel 125, stk. 1, i forordning (EU) nr. 575/2013 offentliggøres her.</w:t>
            </w:r>
          </w:p>
          <w:p w14:paraId="739769BE" w14:textId="77777777" w:rsidR="00FB64CF" w:rsidRDefault="007750BC" w:rsidP="007750BC">
            <w:pPr>
              <w:spacing w:after="120"/>
              <w:jc w:val="both"/>
              <w:rPr>
                <w:sz w:val="24"/>
                <w:rFonts w:ascii="Times New Roman" w:eastAsiaTheme="minorHAnsi" w:hAnsi="Times New Roman"/>
              </w:rPr>
            </w:pPr>
            <w:r>
              <w:t xml:space="preserve"> </w:t>
            </w:r>
            <w:r>
              <w:br/>
            </w:r>
            <w:r>
              <w:rPr>
                <w:sz w:val="24"/>
                <w:rFonts w:ascii="Times New Roman" w:hAnsi="Times New Roman"/>
              </w:rPr>
              <w:t xml:space="preserve">I denne række offentliggøres også:</w:t>
            </w:r>
            <w:r>
              <w:rPr>
                <w:sz w:val="24"/>
                <w:rFonts w:ascii="Times New Roman" w:hAnsi="Times New Roman"/>
              </w:rPr>
              <w:t xml:space="preserve"> </w:t>
            </w:r>
            <w:r>
              <w:rPr>
                <w:sz w:val="24"/>
                <w:rFonts w:ascii="Times New Roman" w:hAnsi="Times New Roman"/>
              </w:rPr>
              <w:t xml:space="preserve">andre eksponeringer sikret ved pant i beboelsesejendom – ikke IPRE, som ikke opfylder betingelserne i artikel 124, stk. 3,</w:t>
            </w:r>
            <w:r>
              <w:rPr>
                <w:sz w:val="24"/>
                <w:rFonts w:ascii="Times New Roman" w:hAnsi="Times New Roman"/>
              </w:rPr>
              <w:t xml:space="preserve"> </w:t>
            </w:r>
            <w:r>
              <w:rPr>
                <w:sz w:val="24"/>
                <w:rFonts w:ascii="Times New Roman" w:hAnsi="Times New Roman"/>
              </w:rPr>
              <w:t xml:space="preserve">eller en del af en ikke-ADC-eksponering, der overstiger den nominelle værdi af panterettigheden i ejendommen, jf. artikel 124, stk. 1, litra a), i forordning (EU) nr. 575/2013.</w:t>
            </w:r>
          </w:p>
          <w:p w14:paraId="432D1633" w14:textId="5C6396A7" w:rsidR="004E3D87" w:rsidRPr="00166E0C" w:rsidRDefault="004E3D87" w:rsidP="007750BC">
            <w:pPr>
              <w:spacing w:after="120"/>
              <w:jc w:val="both"/>
              <w:rPr>
                <w:bCs/>
                <w:sz w:val="24"/>
                <w:rFonts w:ascii="Times New Roman" w:hAnsi="Times New Roman" w:cs="Times New Roman"/>
              </w:rPr>
            </w:pPr>
            <w:r>
              <w:rPr>
                <w:sz w:val="24"/>
                <w:rFonts w:ascii="Times New Roman" w:hAnsi="Times New Roman"/>
              </w:rPr>
              <w:t xml:space="preserve">Denne række er summen af række 9.1.1, 9.1.2 og 9.1.3.</w:t>
            </w:r>
          </w:p>
        </w:tc>
      </w:tr>
      <w:tr w:rsidR="00B731E6" w:rsidRPr="00166E0C" w14:paraId="3757A5E1" w14:textId="77777777" w:rsidTr="5A0D947F">
        <w:trPr>
          <w:trHeight w:val="507"/>
        </w:trPr>
        <w:tc>
          <w:tcPr>
            <w:tcW w:w="1413" w:type="dxa"/>
            <w:shd w:val="clear" w:color="auto" w:fill="auto"/>
          </w:tcPr>
          <w:p w14:paraId="6947CF4E" w14:textId="20DCDB33"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9.1.1</w:t>
            </w:r>
          </w:p>
        </w:tc>
        <w:tc>
          <w:tcPr>
            <w:tcW w:w="7654" w:type="dxa"/>
            <w:shd w:val="clear" w:color="auto" w:fill="auto"/>
          </w:tcPr>
          <w:p w14:paraId="7643D411" w14:textId="53D2093F" w:rsidR="00F26067" w:rsidRPr="00FB64CF" w:rsidRDefault="00F26067"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Lånopdeling ikke anvendt</w:t>
            </w:r>
          </w:p>
          <w:p w14:paraId="02E8C845" w14:textId="57A0B1B1" w:rsidR="00B731E6" w:rsidRPr="00166E0C" w:rsidRDefault="00F26067" w:rsidP="00B731E6">
            <w:pPr>
              <w:spacing w:after="120"/>
              <w:jc w:val="both"/>
              <w:rPr>
                <w:sz w:val="24"/>
                <w:rFonts w:ascii="Times New Roman" w:eastAsiaTheme="minorHAnsi" w:hAnsi="Times New Roman" w:cs="Times New Roman"/>
              </w:rPr>
            </w:pPr>
            <w:r>
              <w:rPr>
                <w:sz w:val="24"/>
                <w:rFonts w:ascii="Times New Roman" w:hAnsi="Times New Roman"/>
              </w:rPr>
              <w:t xml:space="preserve">Eksponeringer sikret ved pant i beboelsesejendom – ikke IPRE, for hvilke metoden til opdeling af lån som beskrevet i artikel 125, stk. 1, i forordning (EU) nr. 575/2013 ikke finder anvendelse.</w:t>
            </w:r>
            <w:r>
              <w:rPr>
                <w:sz w:val="24"/>
                <w:rFonts w:ascii="Times New Roman" w:hAnsi="Times New Roman"/>
              </w:rPr>
              <w:t xml:space="preserve"> </w:t>
            </w:r>
          </w:p>
        </w:tc>
      </w:tr>
      <w:tr w:rsidR="00B731E6" w:rsidRPr="00BC439A" w14:paraId="7102D657" w14:textId="77777777" w:rsidTr="5A0D947F">
        <w:trPr>
          <w:trHeight w:val="507"/>
        </w:trPr>
        <w:tc>
          <w:tcPr>
            <w:tcW w:w="1413" w:type="dxa"/>
            <w:shd w:val="clear" w:color="auto" w:fill="auto"/>
          </w:tcPr>
          <w:p w14:paraId="38838607" w14:textId="5063C525"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9.1.2</w:t>
            </w:r>
          </w:p>
        </w:tc>
        <w:tc>
          <w:tcPr>
            <w:tcW w:w="7654" w:type="dxa"/>
            <w:shd w:val="clear" w:color="auto" w:fill="auto"/>
          </w:tcPr>
          <w:p w14:paraId="0F9D3D69" w14:textId="1E8EFD2D" w:rsidR="00F26067" w:rsidRPr="00FB64CF" w:rsidRDefault="00F26067" w:rsidP="5A0D947F">
            <w:pPr>
              <w:spacing w:after="120"/>
              <w:jc w:val="both"/>
              <w:rPr>
                <w:b/>
                <w:bCs/>
                <w:sz w:val="24"/>
                <w:rFonts w:ascii="Times New Roman" w:hAnsi="Times New Roman" w:cs="Times New Roman"/>
              </w:rPr>
            </w:pPr>
            <w:r>
              <w:rPr>
                <w:b/>
                <w:sz w:val="24"/>
                <w:rFonts w:ascii="Times New Roman" w:hAnsi="Times New Roman"/>
              </w:rPr>
              <w:t xml:space="preserve">Lånopdeling anvendt (sikret)</w:t>
            </w:r>
          </w:p>
          <w:p w14:paraId="28B98A7E" w14:textId="6E936DED"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Sikret del af eksponeringer sikret ved pant i beboelsesejendom, for hvilke metoden til opdeling af lån som beskrevet i artikel 125, stk. 1, litra a), i forordning (EU) nr. 575/2013 finder anvendelse.</w:t>
            </w:r>
          </w:p>
        </w:tc>
      </w:tr>
      <w:tr w:rsidR="00B731E6" w:rsidRPr="00BC439A" w14:paraId="0CDDB3DF" w14:textId="77777777" w:rsidTr="5A0D947F">
        <w:trPr>
          <w:trHeight w:val="507"/>
        </w:trPr>
        <w:tc>
          <w:tcPr>
            <w:tcW w:w="1413" w:type="dxa"/>
            <w:shd w:val="clear" w:color="auto" w:fill="auto"/>
          </w:tcPr>
          <w:p w14:paraId="14E5CE41" w14:textId="2C251DB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9.1.3</w:t>
            </w:r>
          </w:p>
        </w:tc>
        <w:tc>
          <w:tcPr>
            <w:tcW w:w="7654" w:type="dxa"/>
            <w:shd w:val="clear" w:color="auto" w:fill="auto"/>
          </w:tcPr>
          <w:p w14:paraId="276011BB" w14:textId="26F29D4D" w:rsidR="00F26067" w:rsidRPr="00FB64CF" w:rsidRDefault="00F26067" w:rsidP="5A0D947F">
            <w:pPr>
              <w:spacing w:after="120"/>
              <w:jc w:val="both"/>
              <w:rPr>
                <w:b/>
                <w:bCs/>
                <w:sz w:val="24"/>
                <w:rFonts w:ascii="Times New Roman" w:hAnsi="Times New Roman" w:cs="Times New Roman"/>
              </w:rPr>
            </w:pPr>
            <w:r>
              <w:rPr>
                <w:b/>
                <w:sz w:val="24"/>
                <w:rFonts w:ascii="Times New Roman" w:hAnsi="Times New Roman"/>
              </w:rPr>
              <w:t xml:space="preserve">Lånopdeling anvendt (ikke sikret)</w:t>
            </w:r>
          </w:p>
          <w:p w14:paraId="4F2656D3" w14:textId="59CF83C6" w:rsidR="00B731E6" w:rsidRPr="00BC439A" w:rsidRDefault="00F26067" w:rsidP="5A0D947F">
            <w:pPr>
              <w:spacing w:after="120"/>
              <w:jc w:val="both"/>
              <w:rPr>
                <w:sz w:val="24"/>
                <w:rFonts w:ascii="Times New Roman" w:hAnsi="Times New Roman" w:cs="Times New Roman"/>
              </w:rPr>
            </w:pPr>
            <w:r>
              <w:rPr>
                <w:sz w:val="24"/>
                <w:rFonts w:ascii="Times New Roman" w:hAnsi="Times New Roman"/>
              </w:rPr>
              <w:t xml:space="preserve">Den resterende del af eksponeringer sikret ved pant i beboelsesejendom, for hvilke metoden til opdeling af lån som beskrevet i artikel 125, stk. 1, i forordning (EU) nr. 575/2013 finder anvendelse.</w:t>
            </w:r>
            <w:r>
              <w:rPr>
                <w:sz w:val="24"/>
                <w:rFonts w:ascii="Times New Roman" w:hAnsi="Times New Roman"/>
              </w:rPr>
              <w:t xml:space="preserve"> </w:t>
            </w:r>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9.2</w:t>
            </w:r>
          </w:p>
        </w:tc>
        <w:tc>
          <w:tcPr>
            <w:tcW w:w="7654" w:type="dxa"/>
            <w:shd w:val="clear" w:color="auto" w:fill="auto"/>
          </w:tcPr>
          <w:p w14:paraId="70C82B6D" w14:textId="2D504FDB"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Sikret ved pant i beboelsesejendomme – IPRE</w:t>
            </w:r>
          </w:p>
          <w:p w14:paraId="4E83C986" w14:textId="06AEEF5B"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Eksponeringer, som opfylder definitionen i artikel 4, stk. 1, nr. 75b) i forordning (EU) nr. 575/2013, indberettes her.</w:t>
            </w:r>
          </w:p>
          <w:p w14:paraId="46AB10B2" w14:textId="77777777" w:rsidR="008D77B1" w:rsidRPr="00166E0C" w:rsidRDefault="00BC2787" w:rsidP="5A0D947F">
            <w:pPr>
              <w:spacing w:after="120"/>
              <w:jc w:val="both"/>
              <w:rPr>
                <w:sz w:val="24"/>
                <w:rFonts w:ascii="Times New Roman" w:hAnsi="Times New Roman" w:cs="Times New Roman"/>
              </w:rPr>
            </w:pPr>
            <w:r>
              <w:rPr>
                <w:sz w:val="24"/>
                <w:rFonts w:ascii="Times New Roman" w:hAnsi="Times New Roman"/>
              </w:rPr>
              <w:t xml:space="preserve">I denne række offentliggøres også:</w:t>
            </w:r>
            <w:r>
              <w:rPr>
                <w:sz w:val="24"/>
                <w:rFonts w:ascii="Times New Roman" w:hAnsi="Times New Roman"/>
              </w:rPr>
              <w:t xml:space="preserve"> </w:t>
            </w:r>
          </w:p>
          <w:p w14:paraId="56D10EDE" w14:textId="53C433B5" w:rsidR="008D77B1" w:rsidRPr="00166E0C" w:rsidRDefault="008D77B1" w:rsidP="5A0D947F">
            <w:pPr>
              <w:spacing w:after="120"/>
              <w:jc w:val="both"/>
              <w:rPr>
                <w:sz w:val="24"/>
                <w:rFonts w:ascii="Times New Roman" w:eastAsiaTheme="minorHAnsi" w:hAnsi="Times New Roman" w:cs="Times New Roman"/>
              </w:rPr>
            </w:pPr>
            <w:r>
              <w:rPr>
                <w:sz w:val="24"/>
                <w:rFonts w:ascii="Times New Roman" w:hAnsi="Times New Roman"/>
              </w:rPr>
              <w:t xml:space="preserve">— andre eksponeringer sikret ved pant i beboelsesejendom – IPRE, som ikke opfylder betingelserne i artikel 124, stk. 3, eller en del af en ikke-ADC-eksponering, der overstiger den nominelle værdi af panterettigheden i ejendommen, jf. artikel 124, stk. 1, litra b), i forordning (EU) nr. 575/2013.</w:t>
            </w:r>
          </w:p>
          <w:p w14:paraId="54B1CD31" w14:textId="77777777" w:rsidR="00DE1541" w:rsidRDefault="008D77B1" w:rsidP="5A0D947F">
            <w:pPr>
              <w:spacing w:after="120"/>
              <w:jc w:val="both"/>
              <w:rPr>
                <w:bCs/>
                <w:sz w:val="24"/>
                <w:rFonts w:ascii="Times New Roman" w:hAnsi="Times New Roman" w:cs="Times New Roman"/>
              </w:rPr>
            </w:pPr>
            <w:r>
              <w:rPr>
                <w:sz w:val="24"/>
                <w:rFonts w:ascii="Times New Roman" w:hAnsi="Times New Roman"/>
              </w:rPr>
              <w:t xml:space="preserve">— IPRE-eksponeringer, der opfylder en af betingelserne i artikel 124, stk. 2, litra a), nr. ii), nr. 1)-4), i forordning (EU) nr. 575/2013</w:t>
            </w:r>
            <w:r>
              <w:rPr>
                <w:sz w:val="24"/>
                <w:rFonts w:ascii="Times New Roman" w:hAnsi="Times New Roman"/>
              </w:rPr>
              <w:t xml:space="preserve"> </w:t>
            </w:r>
          </w:p>
          <w:p w14:paraId="2A0561A2" w14:textId="62F31EDE" w:rsidR="00BC2787" w:rsidRPr="00166E0C" w:rsidRDefault="00DE1541" w:rsidP="5A0D947F">
            <w:pPr>
              <w:spacing w:after="120"/>
              <w:jc w:val="both"/>
              <w:rPr>
                <w:sz w:val="24"/>
                <w:rFonts w:ascii="Times New Roman" w:hAnsi="Times New Roman" w:cs="Times New Roman"/>
              </w:rPr>
            </w:pPr>
            <w:r>
              <w:rPr>
                <w:sz w:val="24"/>
                <w:rFonts w:ascii="Times New Roman" w:hAnsi="Times New Roman"/>
              </w:rPr>
              <w:t xml:space="preserve">— IPRE-eksponeringer, for hvilke undtagelsen i artikel 125, stk. 2, i forordning (EU) nr. 575/2013 finder anvendelse.</w:t>
            </w:r>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w:t>
            </w:r>
          </w:p>
        </w:tc>
        <w:tc>
          <w:tcPr>
            <w:tcW w:w="7654" w:type="dxa"/>
            <w:shd w:val="clear" w:color="auto" w:fill="auto"/>
          </w:tcPr>
          <w:p w14:paraId="1FB5BC8C" w14:textId="150F29C1" w:rsidR="00AF565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Sikret ved pant i erhvervsejendomme – ikke-IPRE</w:t>
            </w:r>
          </w:p>
          <w:p w14:paraId="6D774530" w14:textId="076B20CB" w:rsidR="00B731E6" w:rsidRPr="00166E0C" w:rsidRDefault="00AF5657" w:rsidP="00B731E6">
            <w:pPr>
              <w:spacing w:after="120"/>
              <w:jc w:val="both"/>
              <w:rPr>
                <w:bCs/>
                <w:sz w:val="24"/>
                <w:rFonts w:ascii="Times New Roman" w:hAnsi="Times New Roman" w:cs="Times New Roman"/>
              </w:rPr>
            </w:pPr>
            <w:r>
              <w:rPr>
                <w:sz w:val="24"/>
                <w:rFonts w:ascii="Times New Roman" w:hAnsi="Times New Roman"/>
              </w:rPr>
              <w:t xml:space="preserve">Eksponeringer behandlet i overensstemmelse med artikel 126, stk. 1, i forordning (EU) nr. 575/2013 offentliggøres her.</w:t>
            </w:r>
          </w:p>
          <w:p w14:paraId="7E6B1435" w14:textId="2E512A61" w:rsidR="00DA7EF5" w:rsidRPr="00166E0C" w:rsidRDefault="0033556A" w:rsidP="00B731E6">
            <w:pPr>
              <w:spacing w:after="120"/>
              <w:jc w:val="both"/>
              <w:rPr>
                <w:bCs/>
                <w:sz w:val="24"/>
                <w:rFonts w:ascii="Times New Roman" w:hAnsi="Times New Roman" w:cs="Times New Roman"/>
              </w:rPr>
            </w:pPr>
            <w:r>
              <w:rPr>
                <w:sz w:val="24"/>
                <w:rFonts w:ascii="Times New Roman" w:hAnsi="Times New Roman"/>
              </w:rPr>
              <w:t xml:space="preserve">I denne række offentliggøres også:</w:t>
            </w:r>
            <w:r>
              <w:rPr>
                <w:sz w:val="24"/>
                <w:rFonts w:ascii="Times New Roman" w:hAnsi="Times New Roman"/>
              </w:rPr>
              <w:t xml:space="preserve"> </w:t>
            </w:r>
            <w:r>
              <w:rPr>
                <w:sz w:val="24"/>
                <w:rFonts w:ascii="Times New Roman" w:hAnsi="Times New Roman"/>
              </w:rPr>
              <w:t xml:space="preserve">andre eksponeringer sikret ved pant i erhvervsejendom – ikke IPRE, som ikke opfylder betingelserne i artikel 124, stk. 3, eller en del af en ikke-ADC-eksponering, der overstiger den nominelle værdi af panterettigheden i ejendommen, jf. artikel 124, stk. 1, litra a), i forordning (EU) nr. 575/2013.</w:t>
            </w:r>
          </w:p>
          <w:p w14:paraId="3A4B49EE" w14:textId="21BC011B" w:rsidR="007E0548" w:rsidRPr="00166E0C" w:rsidRDefault="007E0548" w:rsidP="00B731E6">
            <w:pPr>
              <w:spacing w:after="120"/>
              <w:jc w:val="both"/>
              <w:rPr>
                <w:sz w:val="24"/>
                <w:rFonts w:ascii="Times New Roman" w:eastAsiaTheme="minorHAnsi" w:hAnsi="Times New Roman" w:cs="Times New Roman"/>
              </w:rPr>
            </w:pPr>
            <w:r>
              <w:rPr>
                <w:sz w:val="24"/>
                <w:rFonts w:ascii="Times New Roman" w:hAnsi="Times New Roman"/>
              </w:rPr>
              <w:t xml:space="preserve">Denne række er summen af række 9.3.1, 9.3.2 og 9.3.3.</w:t>
            </w:r>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9.3.1.</w:t>
            </w:r>
          </w:p>
        </w:tc>
        <w:tc>
          <w:tcPr>
            <w:tcW w:w="7654" w:type="dxa"/>
            <w:shd w:val="clear" w:color="auto" w:fill="auto"/>
          </w:tcPr>
          <w:p w14:paraId="6F533409" w14:textId="44833E01"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Lånopdeling ikke anvendt</w:t>
            </w:r>
          </w:p>
          <w:p w14:paraId="189515BD" w14:textId="4BE4C9FD"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Eksponeringer sikret ved pant i erhvervsejendom, for hvilke metoden til opdeling af lån som beskrevet i artikel 126, stk. 1, i forordning (EU) nr. 575/2013 ikke finder anvendelse.</w:t>
            </w:r>
          </w:p>
        </w:tc>
      </w:tr>
      <w:tr w:rsidR="00B731E6" w:rsidRPr="00BC439A" w14:paraId="536C5813" w14:textId="77777777" w:rsidTr="5A0D947F">
        <w:trPr>
          <w:trHeight w:val="507"/>
        </w:trPr>
        <w:tc>
          <w:tcPr>
            <w:tcW w:w="1413" w:type="dxa"/>
            <w:shd w:val="clear" w:color="auto" w:fill="auto"/>
          </w:tcPr>
          <w:p w14:paraId="17942517" w14:textId="2325CC59"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9.3.2.</w:t>
            </w:r>
          </w:p>
        </w:tc>
        <w:tc>
          <w:tcPr>
            <w:tcW w:w="7654" w:type="dxa"/>
            <w:shd w:val="clear" w:color="auto" w:fill="auto"/>
          </w:tcPr>
          <w:p w14:paraId="2A4977BE" w14:textId="7C1D3936"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Lånopdeling anvendt (sikret)</w:t>
            </w:r>
          </w:p>
          <w:p w14:paraId="295F988E" w14:textId="163AC587"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Sikret del af eksponeringer sikret ved pant i erhvervsejendom, for hvilke metoden til opdeling af lån som beskrevet i artikel 126, stk. 1, i forordning (EU) nr. 575/2013 finder anvendelse.</w:t>
            </w:r>
          </w:p>
        </w:tc>
      </w:tr>
      <w:tr w:rsidR="00B731E6" w:rsidRPr="00BC439A" w14:paraId="32A17F28" w14:textId="77777777" w:rsidTr="5A0D947F">
        <w:trPr>
          <w:trHeight w:val="507"/>
        </w:trPr>
        <w:tc>
          <w:tcPr>
            <w:tcW w:w="1413" w:type="dxa"/>
            <w:shd w:val="clear" w:color="auto" w:fill="auto"/>
          </w:tcPr>
          <w:p w14:paraId="7E7BBE98" w14:textId="308FFA9D"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9.3.3.</w:t>
            </w:r>
          </w:p>
        </w:tc>
        <w:tc>
          <w:tcPr>
            <w:tcW w:w="7654" w:type="dxa"/>
            <w:shd w:val="clear" w:color="auto" w:fill="auto"/>
          </w:tcPr>
          <w:p w14:paraId="4ECB5244" w14:textId="1E8E28D6" w:rsidR="00AF5657" w:rsidRPr="00FB64CF" w:rsidRDefault="00AF5657" w:rsidP="5A0D947F">
            <w:pPr>
              <w:spacing w:after="120"/>
              <w:jc w:val="both"/>
              <w:rPr>
                <w:b/>
                <w:bCs/>
                <w:sz w:val="24"/>
                <w:rFonts w:ascii="Times New Roman" w:hAnsi="Times New Roman" w:cs="Times New Roman"/>
              </w:rPr>
            </w:pPr>
            <w:r>
              <w:rPr>
                <w:b/>
                <w:sz w:val="24"/>
                <w:rFonts w:ascii="Times New Roman" w:hAnsi="Times New Roman"/>
              </w:rPr>
              <w:t xml:space="preserve">Lånopdeling anvendt (ikke sikret)</w:t>
            </w:r>
          </w:p>
          <w:p w14:paraId="6C4BCA6C" w14:textId="42BC1D87"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Den resterende del af eksponeringer sikret ved pant i erhvervsejendom, for hvilke metoden til opdeling af lån som beskrevet i artikel 126, stk. 1, i forordning (EU) nr. 575/2013 finder anvendelse.</w:t>
            </w:r>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9.4</w:t>
            </w:r>
          </w:p>
        </w:tc>
        <w:tc>
          <w:tcPr>
            <w:tcW w:w="7654" w:type="dxa"/>
            <w:shd w:val="clear" w:color="auto" w:fill="auto"/>
          </w:tcPr>
          <w:p w14:paraId="5DC2F5DD" w14:textId="1CB33C48"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Sikret ved pant i erhvervsejendomme – IPRE</w:t>
            </w:r>
          </w:p>
          <w:p w14:paraId="6B5C20F3" w14:textId="231C48A9" w:rsidR="00B731E6" w:rsidRPr="00166E0C" w:rsidRDefault="00AF5657" w:rsidP="5A0D947F">
            <w:pPr>
              <w:spacing w:after="120"/>
              <w:jc w:val="both"/>
              <w:rPr>
                <w:sz w:val="24"/>
                <w:rFonts w:ascii="Times New Roman" w:hAnsi="Times New Roman" w:cs="Times New Roman"/>
              </w:rPr>
            </w:pPr>
            <w:r>
              <w:rPr>
                <w:sz w:val="24"/>
                <w:rFonts w:ascii="Times New Roman" w:hAnsi="Times New Roman"/>
              </w:rPr>
              <w:t xml:space="preserve">Eksponeringer, som opfylder definitionen i artikel 4, stk. 1, nr. 75b), og artikel 124, stk. 2, litra b), nr. ii), i forordning (EU) nr. 575/2013, indberettes her.</w:t>
            </w:r>
            <w:r>
              <w:rPr>
                <w:sz w:val="24"/>
                <w:rFonts w:ascii="Times New Roman" w:hAnsi="Times New Roman"/>
              </w:rPr>
              <w:t xml:space="preserve"> </w:t>
            </w:r>
          </w:p>
          <w:p w14:paraId="753C2F57" w14:textId="77777777" w:rsidR="008D77B1" w:rsidRPr="00166E0C" w:rsidRDefault="00DA7EF5" w:rsidP="5A0D947F">
            <w:pPr>
              <w:spacing w:after="120"/>
              <w:jc w:val="both"/>
              <w:rPr>
                <w:sz w:val="24"/>
                <w:rFonts w:ascii="Times New Roman" w:hAnsi="Times New Roman" w:cs="Times New Roman"/>
              </w:rPr>
            </w:pPr>
            <w:r>
              <w:rPr>
                <w:sz w:val="24"/>
                <w:rFonts w:ascii="Times New Roman" w:hAnsi="Times New Roman"/>
              </w:rPr>
              <w:t xml:space="preserve">I denne række offentliggøres også:</w:t>
            </w:r>
          </w:p>
          <w:p w14:paraId="5FECF5F7" w14:textId="5AE5B58A" w:rsidR="008D77B1" w:rsidRPr="00166E0C" w:rsidRDefault="008D77B1" w:rsidP="5A0D947F">
            <w:pPr>
              <w:spacing w:after="120"/>
              <w:jc w:val="both"/>
              <w:rPr>
                <w:sz w:val="24"/>
                <w:rFonts w:ascii="Times New Roman" w:eastAsiaTheme="minorHAnsi" w:hAnsi="Times New Roman" w:cs="Times New Roman"/>
              </w:rPr>
            </w:pPr>
            <w:r>
              <w:rPr>
                <w:sz w:val="24"/>
                <w:rFonts w:ascii="Times New Roman" w:hAnsi="Times New Roman"/>
              </w:rPr>
              <w:t xml:space="preserve">— andre eksponeringer sikret ved pant i erhvervsejendom – IPRE, som ikke opfylder betingelserne i artikel 124, stk. 3, eller en del af en ikke-ADC-eksponering, der overstiger den nominelle værdi af panterettigheden i ejendommen, jf. artikel 124, stk. 1, litra b), i forordning (EU) nr. 575/2013</w:t>
            </w:r>
          </w:p>
          <w:p w14:paraId="7685605B" w14:textId="29DF1160" w:rsidR="00DA7EF5" w:rsidRPr="00166E0C" w:rsidRDefault="008D77B1" w:rsidP="5A0D947F">
            <w:pPr>
              <w:spacing w:after="120"/>
              <w:jc w:val="both"/>
              <w:rPr>
                <w:bCs/>
                <w:sz w:val="24"/>
                <w:rFonts w:ascii="Times New Roman" w:hAnsi="Times New Roman" w:cs="Times New Roman"/>
              </w:rPr>
            </w:pPr>
            <w:r>
              <w:rPr>
                <w:sz w:val="24"/>
                <w:rFonts w:ascii="Times New Roman" w:hAnsi="Times New Roman"/>
              </w:rPr>
              <w:t xml:space="preserve">— IPRE-eksponeringer, for hvilke undtagelsen i artikel 126, stk. 2, i forordning (EU) nr. 575/2014 finder anvendelse.</w:t>
            </w:r>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9.5</w:t>
            </w:r>
          </w:p>
        </w:tc>
        <w:tc>
          <w:tcPr>
            <w:tcW w:w="7654" w:type="dxa"/>
            <w:shd w:val="clear" w:color="auto" w:fill="auto"/>
          </w:tcPr>
          <w:p w14:paraId="341A3252" w14:textId="49B1967E" w:rsidR="00AF5657" w:rsidRPr="00FB64CF" w:rsidRDefault="0B701945" w:rsidP="5A0D947F">
            <w:pPr>
              <w:spacing w:after="120"/>
              <w:jc w:val="both"/>
              <w:rPr>
                <w:b/>
                <w:bCs/>
                <w:sz w:val="24"/>
                <w:rFonts w:ascii="Times New Roman" w:hAnsi="Times New Roman" w:cs="Times New Roman"/>
              </w:rPr>
            </w:pPr>
            <w:r>
              <w:rPr>
                <w:b/>
                <w:sz w:val="24"/>
                <w:rFonts w:ascii="Times New Roman" w:hAnsi="Times New Roman"/>
              </w:rPr>
              <w:t xml:space="preserve">Erhvervelse, udvikling og bebyggelse (ADC)</w:t>
            </w:r>
          </w:p>
          <w:p w14:paraId="0F969F9F" w14:textId="52C7FD3B" w:rsidR="00B731E6" w:rsidRPr="00BC439A" w:rsidRDefault="00AF5657" w:rsidP="5A0D947F">
            <w:pPr>
              <w:spacing w:after="120"/>
              <w:jc w:val="both"/>
              <w:rPr>
                <w:sz w:val="24"/>
                <w:rFonts w:ascii="Times New Roman" w:hAnsi="Times New Roman" w:cs="Times New Roman"/>
              </w:rPr>
            </w:pPr>
            <w:r>
              <w:rPr>
                <w:sz w:val="24"/>
                <w:rFonts w:ascii="Times New Roman" w:hAnsi="Times New Roman"/>
              </w:rPr>
              <w:t xml:space="preserve">Kun eksponeringer, som opfylder definitionen i artikel 4, stk. 1, nr. 78a) i forordning (EU) nr. 575/2013, indberettes her.</w:t>
            </w:r>
          </w:p>
        </w:tc>
      </w:tr>
      <w:tr w:rsidR="00B731E6" w:rsidRPr="00BC439A" w14:paraId="55E6C904" w14:textId="77777777" w:rsidTr="5A0D947F">
        <w:trPr>
          <w:trHeight w:val="4791"/>
        </w:trPr>
        <w:tc>
          <w:tcPr>
            <w:tcW w:w="1413" w:type="dxa"/>
          </w:tcPr>
          <w:p w14:paraId="1A19FACE" w14:textId="25B6BF34" w:rsidR="00B731E6" w:rsidRPr="00166E0C" w:rsidRDefault="6D7E96F7">
            <w:pPr>
              <w:spacing w:after="120"/>
              <w:jc w:val="both"/>
              <w:rPr>
                <w:sz w:val="24"/>
                <w:rFonts w:ascii="Times New Roman" w:eastAsia="Times New Roman" w:hAnsi="Times New Roman" w:cs="Times New Roman"/>
              </w:rPr>
            </w:pPr>
            <w:r>
              <w:rPr>
                <w:sz w:val="24"/>
                <w:rFonts w:ascii="Times New Roman" w:hAnsi="Times New Roman"/>
              </w:rPr>
              <w:t xml:space="preserve">EU 10c</w:t>
            </w:r>
          </w:p>
        </w:tc>
        <w:tc>
          <w:tcPr>
            <w:tcW w:w="7654" w:type="dxa"/>
          </w:tcPr>
          <w:p w14:paraId="44064BA9" w14:textId="08D5F5C0" w:rsidR="00AF5657" w:rsidRPr="00FB64CF" w:rsidRDefault="00B731E6" w:rsidP="00B731E6">
            <w:pPr>
              <w:spacing w:after="120"/>
              <w:jc w:val="both"/>
              <w:rPr>
                <w:b/>
                <w:bCs/>
                <w:sz w:val="24"/>
                <w:rFonts w:ascii="Times New Roman" w:eastAsiaTheme="minorHAnsi" w:hAnsi="Times New Roman" w:cs="Times New Roman"/>
              </w:rPr>
            </w:pPr>
            <w:r>
              <w:rPr>
                <w:b/>
                <w:sz w:val="24"/>
                <w:rFonts w:ascii="Times New Roman" w:hAnsi="Times New Roman"/>
              </w:rPr>
              <w:t xml:space="preserve">Andre poster</w:t>
            </w:r>
          </w:p>
          <w:p w14:paraId="71B77EE9" w14:textId="278AF798" w:rsidR="00B731E6" w:rsidRPr="00166E0C" w:rsidRDefault="00AF5657" w:rsidP="00B731E6">
            <w:pPr>
              <w:spacing w:after="120"/>
              <w:jc w:val="both"/>
              <w:rPr>
                <w:sz w:val="24"/>
                <w:rFonts w:ascii="Times New Roman" w:eastAsiaTheme="minorHAnsi" w:hAnsi="Times New Roman" w:cs="Times New Roman"/>
              </w:rPr>
            </w:pPr>
            <w:r>
              <w:rPr>
                <w:sz w:val="24"/>
                <w:rFonts w:ascii="Times New Roman" w:hAnsi="Times New Roman"/>
              </w:rPr>
              <w:t xml:space="preserve">Eksponeringsklassen henviser til:</w:t>
            </w:r>
          </w:p>
          <w:p w14:paraId="278C94D3" w14:textId="1D604FCC" w:rsidR="00B731E6" w:rsidRPr="00166E0C" w:rsidRDefault="00B731E6" w:rsidP="00B731E6">
            <w:pPr>
              <w:spacing w:after="120"/>
              <w:jc w:val="both"/>
              <w:rPr>
                <w:sz w:val="24"/>
                <w:rFonts w:ascii="Times New Roman" w:eastAsiaTheme="minorHAnsi" w:hAnsi="Times New Roman" w:cs="Times New Roman"/>
              </w:rPr>
            </w:pPr>
            <w:r>
              <w:rPr>
                <w:sz w:val="24"/>
                <w:rFonts w:ascii="Times New Roman" w:hAnsi="Times New Roman"/>
              </w:rPr>
              <w:t xml:space="preserve">— aktiver underlagt en særlig risikovægt i overensstemmelse med tredje del, afsnit II, kapitel 4, artikel 134 i forordning (EU) nr. 575/2013</w:t>
            </w:r>
          </w:p>
          <w:p w14:paraId="573636F2" w14:textId="044BB2FD" w:rsidR="00B731E6" w:rsidRPr="00BC439A" w:rsidRDefault="0B701945" w:rsidP="5A0D947F">
            <w:pPr>
              <w:spacing w:after="120"/>
              <w:jc w:val="both"/>
              <w:rPr>
                <w:sz w:val="24"/>
                <w:rFonts w:ascii="Times New Roman" w:hAnsi="Times New Roman" w:cs="Times New Roman"/>
              </w:rPr>
            </w:pPr>
            <w:r>
              <w:rPr>
                <w:sz w:val="24"/>
                <w:rFonts w:ascii="Times New Roman" w:hAnsi="Times New Roman"/>
              </w:rPr>
              <w:t xml:space="preserve">- aktiver, der ikke fratrækkes i henhold til artikel 39 i forordning (EU) nr. 575/2013 (for meget betalt skat, tilbageførsel af skattemæssige underskud og udskudte skatteaktiver, som ikke afhænger af fremtidig rentabilitet), artikel 41 i forordning (EU) nr. 575/2013 (aktiver i ydelsesbaserede pensionskasser), artikel 46 og 469 i forordning (EU) nr. 575/2013 (ikke-væsentlige investeringer i egentlig kernekapital i enheder i den finansielle sektor), artikel 49 og artikel 471 i forordning (EU) nr. 575/2013 (kapitalinteresser i forsikringsenheder, uanset om disse forsikringsenheder er underkastet tilsyn i henhold til direktivet om finansielle konglomerater), artikel 60 og artikel 475 i forordning (EU) nr. 575/2013 (ikke-væsentlige og væsentlige direkte, indirekte og syntetiske investeringer i hybride kernekapitalinstrumenter udstedt af enheder i den finansielle sektor), artikel 70 og 477 i forordning (EU) nr. 575/2013 (ikke-væsentlige og væsentlige direkte, indirekte og syntetiske besiddelser af supplerende kapitalinstrumenter udstedt af en enhed i den finansielle sektor), når de ikke er fordelt til andre eksponeringsklasser, og til kvalificerede andele uden for den finansielle sektor, når de ikke er tildelt en risikovægt på 1 250 % (jf. anden del, afsnit I, kapitel 1, artikel 36, litra k), i forordning (EU) nr. 575/2013).</w:t>
            </w:r>
          </w:p>
        </w:tc>
      </w:tr>
      <w:tr w:rsidR="006D3144" w:rsidRPr="00BC439A" w14:paraId="5BD2F47E" w14:textId="77777777" w:rsidTr="00FB64CF">
        <w:trPr>
          <w:trHeight w:val="643"/>
        </w:trPr>
        <w:tc>
          <w:tcPr>
            <w:tcW w:w="1413" w:type="dxa"/>
            <w:shd w:val="clear" w:color="auto" w:fill="D9D9D9" w:themeFill="background1" w:themeFillShade="D9"/>
          </w:tcPr>
          <w:p w14:paraId="264F36FD" w14:textId="11D07211" w:rsidR="006D3144" w:rsidRPr="00BC439A" w:rsidRDefault="006D3144">
            <w:pPr>
              <w:spacing w:after="120"/>
              <w:jc w:val="both"/>
              <w:rPr>
                <w:sz w:val="24"/>
                <w:rFonts w:ascii="Times New Roman" w:eastAsia="Times New Roman" w:hAnsi="Times New Roman" w:cs="Times New Roman"/>
              </w:rPr>
            </w:pPr>
            <w:r>
              <w:rPr>
                <w:sz w:val="24"/>
                <w:rFonts w:ascii="Times New Roman" w:hAnsi="Times New Roman"/>
              </w:rPr>
              <w:t xml:space="preserve">11</w:t>
            </w:r>
          </w:p>
        </w:tc>
        <w:tc>
          <w:tcPr>
            <w:tcW w:w="7654" w:type="dxa"/>
            <w:shd w:val="clear" w:color="auto" w:fill="D9D9D9" w:themeFill="background1" w:themeFillShade="D9"/>
          </w:tcPr>
          <w:p w14:paraId="47FD4F2B" w14:textId="1FCF9627" w:rsidR="006D3144" w:rsidRPr="00BC439A" w:rsidRDefault="006D3144" w:rsidP="00B731E6">
            <w:pPr>
              <w:spacing w:after="120"/>
              <w:jc w:val="both"/>
              <w:rPr>
                <w:sz w:val="24"/>
                <w:rFonts w:ascii="Times New Roman" w:eastAsiaTheme="minorHAnsi" w:hAnsi="Times New Roman" w:cs="Times New Roman"/>
              </w:rPr>
            </w:pPr>
            <w:r>
              <w:rPr>
                <w:sz w:val="24"/>
                <w:rFonts w:ascii="Times New Roman" w:hAnsi="Times New Roman"/>
              </w:rPr>
              <w:t xml:space="preserve">Ikke relevant</w:t>
            </w:r>
          </w:p>
        </w:tc>
      </w:tr>
      <w:tr w:rsidR="00B731E6" w:rsidRPr="00AF5657" w14:paraId="11F0EEAC" w14:textId="77777777" w:rsidTr="5A0D947F">
        <w:trPr>
          <w:trHeight w:val="713"/>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sz w:val="24"/>
                <w:rFonts w:ascii="Times New Roman" w:eastAsia="Times New Roman" w:hAnsi="Times New Roman" w:cs="Times New Roman"/>
              </w:rPr>
            </w:pPr>
            <w:r>
              <w:rPr>
                <w:sz w:val="24"/>
                <w:rFonts w:ascii="Times New Roman" w:hAnsi="Times New Roman"/>
              </w:rPr>
              <w:t xml:space="preserve">11c</w:t>
            </w:r>
          </w:p>
        </w:tc>
        <w:tc>
          <w:tcPr>
            <w:tcW w:w="7654" w:type="dxa"/>
            <w:tcBorders>
              <w:top w:val="single" w:sz="4" w:space="0" w:color="auto"/>
              <w:left w:val="single" w:sz="4" w:space="0" w:color="auto"/>
              <w:bottom w:val="single" w:sz="4" w:space="0" w:color="auto"/>
              <w:right w:val="single" w:sz="4" w:space="0" w:color="auto"/>
            </w:tcBorders>
          </w:tcPr>
          <w:p w14:paraId="4375F137" w14:textId="1E994679" w:rsidR="00AF5657" w:rsidRPr="00FB64CF" w:rsidRDefault="00B731E6" w:rsidP="00B731E6">
            <w:pPr>
              <w:spacing w:after="120"/>
              <w:jc w:val="both"/>
              <w:rPr>
                <w:b/>
                <w:bCs/>
                <w:sz w:val="24"/>
                <w:rFonts w:ascii="Times New Roman" w:hAnsi="Times New Roman" w:cs="Times New Roman"/>
              </w:rPr>
            </w:pPr>
            <w:r>
              <w:rPr>
                <w:b/>
                <w:sz w:val="24"/>
                <w:rFonts w:ascii="Times New Roman" w:hAnsi="Times New Roman"/>
              </w:rPr>
              <w:t xml:space="preserve">I alt</w:t>
            </w:r>
          </w:p>
          <w:p w14:paraId="463C4A08" w14:textId="7392B85F" w:rsidR="00B731E6" w:rsidRPr="00FB64CF" w:rsidRDefault="00AF5657" w:rsidP="00B731E6">
            <w:pPr>
              <w:spacing w:after="120"/>
              <w:jc w:val="both"/>
              <w:rPr>
                <w:sz w:val="24"/>
                <w:rFonts w:ascii="Times New Roman" w:hAnsi="Times New Roman" w:cs="Times New Roman"/>
              </w:rPr>
            </w:pPr>
            <w:r>
              <w:rPr>
                <w:sz w:val="24"/>
                <w:rFonts w:ascii="Times New Roman" w:hAnsi="Times New Roman"/>
              </w:rPr>
              <w:t xml:space="preserve">Summen af række 1, 2, 3, EU 3a, 4, 5, 6, 7, 8, 9, 10, EU 10a, EU 10b og EU 10c.</w:t>
            </w:r>
          </w:p>
        </w:tc>
      </w:tr>
    </w:tbl>
    <w:p w14:paraId="63408E1A" w14:textId="77777777" w:rsidR="008B70BD" w:rsidRPr="00FB64CF" w:rsidRDefault="008B70BD" w:rsidP="0005278F">
      <w:pPr>
        <w:spacing w:after="120"/>
        <w:rPr>
          <w:rFonts w:ascii="Times New Roman" w:hAnsi="Times New Roman" w:cs="Times New Roman"/>
          <w:sz w:val="24"/>
          <w:lang w:val="fr-FR"/>
        </w:rPr>
      </w:pPr>
    </w:p>
    <w:p w14:paraId="137E39BA" w14:textId="67FE8595" w:rsidR="00993FC2" w:rsidRPr="00FB64CF" w:rsidRDefault="00993FC2">
      <w:pPr>
        <w:rPr>
          <w:rFonts w:ascii="Times New Roman" w:hAnsi="Times New Roman" w:cs="Times New Roman"/>
          <w:lang w:val="fr-FR"/>
        </w:rPr>
      </w:pPr>
    </w:p>
    <w:sectPr w:rsidR="00993FC2" w:rsidRPr="00FB64C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t xml:space="preserve">1</w:t>
        </w:r>
        <w: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51D365B9" w:rsidR="00166E0C" w:rsidRPr="00222AAB" w:rsidRDefault="00166E0C" w:rsidP="00166E0C">
      <w:pPr>
        <w:pStyle w:val="FootnoteText"/>
        <w:rPr>
          <w:rFonts w:cstheme="minorHAnsi"/>
        </w:rPr>
      </w:pPr>
      <w:r>
        <w:rPr>
          <w:rStyle w:val="FootnoteReference"/>
          <w:rFonts w:cstheme="minorHAnsi"/>
        </w:rPr>
        <w:footnoteRef/>
      </w:r>
      <w:r>
        <w:tab/>
      </w:r>
      <w:r>
        <w:t xml:space="preserve">Europa-Parlamentets og Rådets forordning (EU) nr. 575/2013 af 26. juni 2013 om tilsynsmæssige krav til kreditinstitutter og om ændring af forordning (EU) nr. 648/2012, som ændret ved (EU) 2024/1623 (</w:t>
      </w:r>
      <w:hyperlink r:id="rId1" w:history="1">
        <w:r>
          <w:rPr>
            <w:rStyle w:val="Hyperlink"/>
            <w:color w:val="800080"/>
          </w:rPr>
          <w:t xml:space="preserve">EUT L 176 af 27.6.2013, s. 1</w:t>
        </w:r>
      </w:hyperlink>
      <w:r>
        <w:t xml:space="preserve">).</w:t>
      </w:r>
      <w:r>
        <w:rPr>
          <w:color w:val="800080"/>
          <w:u w:val="single"/>
        </w:rPr>
        <w:t xml:space="preserve"> </w:t>
      </w:r>
      <w:hyperlink r:id="rId2" w:history="1">
        <w:r>
          <w:rPr>
            <w:rStyle w:val="Hyperlink"/>
          </w:rPr>
          <w:t xml:space="preserve">Forordning - EU - 2024/1623 - DA - EUR-Lex (europa.eu)</w:t>
        </w:r>
      </w:hyperlink>
      <w:r>
        <w:rPr>
          <w:color w:val="444444"/>
        </w:rPr>
        <w:t xml:space="preserve">)</w:t>
      </w:r>
      <w:r>
        <w:t xml:space="preserve">.</w:t>
      </w:r>
    </w:p>
  </w:footnote>
  <w:footnote w:id="3">
    <w:p w14:paraId="137E39C2" w14:textId="77777777" w:rsidR="0005278F" w:rsidRPr="00222AAB" w:rsidRDefault="0005278F" w:rsidP="0005278F">
      <w:pPr>
        <w:pStyle w:val="FootnoteText"/>
        <w:rPr>
          <w:rFonts w:cstheme="minorHAnsi"/>
        </w:rPr>
      </w:pPr>
      <w:r>
        <w:rPr>
          <w:rStyle w:val="FootnoteReference"/>
          <w:rFonts w:cstheme="minorHAnsi"/>
        </w:rPr>
        <w:footnoteRef/>
      </w:r>
      <w:r>
        <w:tab/>
      </w:r>
      <w:r>
        <w:t xml:space="preserve">Kommissionens delegerede forordning (EU) nr. 183/2014 af 20. december 2013 om udbygning af Europa-Parlamentets og Rådets forordning (EU) nr. 575/2013 om tilsynsmæssige krav til kreditinstitutter og investeringsselskaber, for så vidt angår reguleringsmæssige tekniske standarder for at præcisere beregningen af specifikke og generelle kreditrisikojusteringer (EUT L 57 af 27.2.2014,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E1984"/>
    <w:rsid w:val="000F5E48"/>
    <w:rsid w:val="00105833"/>
    <w:rsid w:val="00115107"/>
    <w:rsid w:val="00152E53"/>
    <w:rsid w:val="00157B31"/>
    <w:rsid w:val="00164B1E"/>
    <w:rsid w:val="00166E0C"/>
    <w:rsid w:val="00195789"/>
    <w:rsid w:val="001C3FDD"/>
    <w:rsid w:val="001D0015"/>
    <w:rsid w:val="001D48EF"/>
    <w:rsid w:val="001D6B68"/>
    <w:rsid w:val="001E0D83"/>
    <w:rsid w:val="001E3C41"/>
    <w:rsid w:val="002050A2"/>
    <w:rsid w:val="0022219D"/>
    <w:rsid w:val="00240B1D"/>
    <w:rsid w:val="00241526"/>
    <w:rsid w:val="0026300A"/>
    <w:rsid w:val="0027241B"/>
    <w:rsid w:val="002740A6"/>
    <w:rsid w:val="00276065"/>
    <w:rsid w:val="00284FF1"/>
    <w:rsid w:val="00294B8A"/>
    <w:rsid w:val="002A2B60"/>
    <w:rsid w:val="002C4FA7"/>
    <w:rsid w:val="002D0D8E"/>
    <w:rsid w:val="002D1DE6"/>
    <w:rsid w:val="002F744F"/>
    <w:rsid w:val="00301E0E"/>
    <w:rsid w:val="0032013E"/>
    <w:rsid w:val="00323171"/>
    <w:rsid w:val="00324117"/>
    <w:rsid w:val="0033556A"/>
    <w:rsid w:val="00372E04"/>
    <w:rsid w:val="00395831"/>
    <w:rsid w:val="00396B81"/>
    <w:rsid w:val="003D6746"/>
    <w:rsid w:val="003F5A5D"/>
    <w:rsid w:val="0041192F"/>
    <w:rsid w:val="00416282"/>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07E4F"/>
    <w:rsid w:val="00612F57"/>
    <w:rsid w:val="00622571"/>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0308"/>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CE61A5"/>
    <w:rsid w:val="00D00E7E"/>
    <w:rsid w:val="00D02341"/>
    <w:rsid w:val="00D15E9B"/>
    <w:rsid w:val="00D21AB6"/>
    <w:rsid w:val="00D4273B"/>
    <w:rsid w:val="00D60B05"/>
    <w:rsid w:val="00D66A1E"/>
    <w:rsid w:val="00D82A01"/>
    <w:rsid w:val="00DA7EF5"/>
    <w:rsid w:val="00DB271D"/>
    <w:rsid w:val="00DC6346"/>
    <w:rsid w:val="00DC7309"/>
    <w:rsid w:val="00DD25C2"/>
    <w:rsid w:val="00DD57FD"/>
    <w:rsid w:val="00DE1541"/>
    <w:rsid w:val="00DE2242"/>
    <w:rsid w:val="00E00D52"/>
    <w:rsid w:val="00E26DAC"/>
    <w:rsid w:val="00E5072E"/>
    <w:rsid w:val="00E50839"/>
    <w:rsid w:val="00E55526"/>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B64CF"/>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da-DK"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da-DK"/>
    </w:rPr>
  </w:style>
  <w:style w:type="character" w:customStyle="1" w:styleId="FootnoteTextChar">
    <w:name w:val="Footnote Text Char"/>
    <w:basedOn w:val="DefaultParagraphFont"/>
    <w:link w:val="FootnoteText"/>
    <w:rsid w:val="0005278F"/>
    <w:rPr>
      <w:rFonts w:eastAsiaTheme="minorEastAsia"/>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&#65279;<?xml version="1.0" encoding="UTF-8" standalone="yes"?>
<Relationships xmlns="http://schemas.openxmlformats.org/package/2006/relationships"><Relationship Id="rId2" Type="http://schemas.openxmlformats.org/officeDocument/2006/relationships/hyperlink" Target="https://eur-lex.europa.eu/legal-content/DA/TXT/?uri=OJ:L_202401623" TargetMode="External"/><Relationship Id="rId1" Type="http://schemas.openxmlformats.org/officeDocument/2006/relationships/hyperlink" Target="https://eur-lex.europa.eu/legal-content/DA/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customXml/itemProps2.xml><?xml version="1.0" encoding="utf-8"?>
<ds:datastoreItem xmlns:ds="http://schemas.openxmlformats.org/officeDocument/2006/customXml" ds:itemID="{7FA80490-50B6-4996-9FE8-A639D72078D9}"/>
</file>

<file path=customXml/itemProps3.xml><?xml version="1.0" encoding="utf-8"?>
<ds:datastoreItem xmlns:ds="http://schemas.openxmlformats.org/officeDocument/2006/customXml" ds:itemID="{20ABB98C-0E0D-41CF-A93E-1D5887790B46}"/>
</file>

<file path=customXml/itemProps4.xml><?xml version="1.0" encoding="utf-8"?>
<ds:datastoreItem xmlns:ds="http://schemas.openxmlformats.org/officeDocument/2006/customXml" ds:itemID="{9BA46EF0-C6B0-41CE-BD19-A073E45FF5E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3329</Words>
  <Characters>17245</Characters>
  <Application>Microsoft Office Word</Application>
  <DocSecurity>0</DocSecurity>
  <Lines>442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2024-09-26T14:27:00Z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2024-09-26T14:27:18Z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b93c4b32-9114-4059-afe6-18f7575813d6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